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728" w:rsidRDefault="00804728">
      <w:pPr>
        <w:pStyle w:val="Heading2"/>
      </w:pPr>
    </w:p>
    <w:p w:rsidR="00804728" w:rsidRDefault="00804728"/>
    <w:p w:rsidR="00804728" w:rsidRDefault="00804728"/>
    <w:p w:rsidR="00804728" w:rsidRDefault="00804728"/>
    <w:p w:rsidR="00804728" w:rsidRDefault="00804728"/>
    <w:p w:rsidR="00804728" w:rsidRDefault="00804728"/>
    <w:p w:rsidR="00804728" w:rsidRDefault="00804728"/>
    <w:p w:rsidR="00804728" w:rsidRDefault="00804728"/>
    <w:p w:rsidR="00804728" w:rsidRDefault="00804728"/>
    <w:p w:rsidR="00804728" w:rsidRDefault="00804728"/>
    <w:p w:rsidR="00804728" w:rsidRDefault="00804728">
      <w:pPr>
        <w:pStyle w:val="TOC1"/>
      </w:pPr>
    </w:p>
    <w:p w:rsidR="00804728" w:rsidRDefault="00804728"/>
    <w:p w:rsidR="00804728" w:rsidRDefault="00804728">
      <w:pPr>
        <w:pStyle w:val="TOC1"/>
      </w:pPr>
    </w:p>
    <w:p w:rsidR="00804728" w:rsidRDefault="00804728"/>
    <w:p w:rsidR="00804728" w:rsidRDefault="00804728"/>
    <w:p w:rsidR="00804728" w:rsidRDefault="00804728"/>
    <w:p w:rsidR="00804728" w:rsidRDefault="00804728"/>
    <w:p w:rsidR="00804728" w:rsidRDefault="00804728"/>
    <w:p w:rsidR="00804728" w:rsidRDefault="00804728"/>
    <w:p w:rsidR="00804728" w:rsidRDefault="00797F2E">
      <w:pPr>
        <w:rPr>
          <w:sz w:val="40"/>
        </w:rPr>
      </w:pPr>
      <w:fldSimple w:instr=" DOCPROPERTY &quot;Project Name&quot;  \* MERGEFORMAT ">
        <w:r w:rsidR="00C7031A">
          <w:rPr>
            <w:sz w:val="48"/>
          </w:rPr>
          <w:t>S</w:t>
        </w:r>
        <w:r w:rsidR="00F56E7D">
          <w:rPr>
            <w:sz w:val="48"/>
          </w:rPr>
          <w:t>ales and Intra-company invoicing handover notes</w:t>
        </w:r>
      </w:fldSimple>
      <w:r w:rsidR="00804728">
        <w:rPr>
          <w:sz w:val="48"/>
        </w:rPr>
        <w:br/>
      </w:r>
      <w:r w:rsidR="00804728">
        <w:rPr>
          <w:sz w:val="48"/>
        </w:rPr>
        <w:br/>
      </w:r>
    </w:p>
    <w:p w:rsidR="00804728" w:rsidRDefault="00804728">
      <w:pPr>
        <w:pStyle w:val="TOC1"/>
      </w:pPr>
    </w:p>
    <w:p w:rsidR="00804728" w:rsidRDefault="00804728"/>
    <w:p w:rsidR="00804728" w:rsidRDefault="00804728">
      <w:pPr>
        <w:sectPr w:rsidR="00804728">
          <w:headerReference w:type="default" r:id="rId7"/>
          <w:footerReference w:type="default" r:id="rId8"/>
          <w:pgSz w:w="11906" w:h="16838"/>
          <w:pgMar w:top="2256" w:right="1800" w:bottom="1980" w:left="1800" w:header="708" w:footer="708" w:gutter="0"/>
          <w:cols w:space="708"/>
          <w:docGrid w:linePitch="360"/>
        </w:sectPr>
      </w:pPr>
    </w:p>
    <w:p w:rsidR="00804728" w:rsidRDefault="00804728">
      <w:pPr>
        <w:pStyle w:val="Heading1"/>
      </w:pPr>
      <w:bookmarkStart w:id="0" w:name="_Toc139164792"/>
      <w:bookmarkStart w:id="1" w:name="_Toc408471425"/>
      <w:r>
        <w:lastRenderedPageBreak/>
        <w:t>Contents</w:t>
      </w:r>
      <w:bookmarkEnd w:id="0"/>
      <w:bookmarkEnd w:id="1"/>
    </w:p>
    <w:p w:rsidR="00804728" w:rsidRDefault="00804728"/>
    <w:p w:rsidR="001E195E" w:rsidRDefault="00797F2E">
      <w:pPr>
        <w:pStyle w:val="TOC1"/>
        <w:tabs>
          <w:tab w:val="right" w:leader="dot" w:pos="8296"/>
        </w:tabs>
        <w:rPr>
          <w:rFonts w:asciiTheme="minorHAnsi" w:eastAsiaTheme="minorEastAsia" w:hAnsiTheme="minorHAnsi" w:cstheme="minorBidi"/>
          <w:noProof/>
          <w:sz w:val="22"/>
          <w:szCs w:val="22"/>
          <w:lang w:eastAsia="en-GB"/>
        </w:rPr>
      </w:pPr>
      <w:r w:rsidRPr="00797F2E">
        <w:fldChar w:fldCharType="begin"/>
      </w:r>
      <w:r w:rsidR="00804728">
        <w:instrText xml:space="preserve"> TOC \o "1-2" \h \z </w:instrText>
      </w:r>
      <w:r w:rsidRPr="00797F2E">
        <w:fldChar w:fldCharType="separate"/>
      </w:r>
      <w:hyperlink w:anchor="_Toc408471425" w:history="1">
        <w:r w:rsidR="001E195E" w:rsidRPr="005B6EF0">
          <w:rPr>
            <w:rStyle w:val="Hyperlink"/>
            <w:noProof/>
          </w:rPr>
          <w:t>Contents</w:t>
        </w:r>
        <w:r w:rsidR="001E195E">
          <w:rPr>
            <w:noProof/>
            <w:webHidden/>
          </w:rPr>
          <w:tab/>
        </w:r>
        <w:r>
          <w:rPr>
            <w:noProof/>
            <w:webHidden/>
          </w:rPr>
          <w:fldChar w:fldCharType="begin"/>
        </w:r>
        <w:r w:rsidR="001E195E">
          <w:rPr>
            <w:noProof/>
            <w:webHidden/>
          </w:rPr>
          <w:instrText xml:space="preserve"> PAGEREF _Toc408471425 \h </w:instrText>
        </w:r>
        <w:r>
          <w:rPr>
            <w:noProof/>
            <w:webHidden/>
          </w:rPr>
        </w:r>
        <w:r>
          <w:rPr>
            <w:noProof/>
            <w:webHidden/>
          </w:rPr>
          <w:fldChar w:fldCharType="separate"/>
        </w:r>
        <w:r w:rsidR="001E195E">
          <w:rPr>
            <w:noProof/>
            <w:webHidden/>
          </w:rPr>
          <w:t>2</w:t>
        </w:r>
        <w:r>
          <w:rPr>
            <w:noProof/>
            <w:webHidden/>
          </w:rPr>
          <w:fldChar w:fldCharType="end"/>
        </w:r>
      </w:hyperlink>
    </w:p>
    <w:p w:rsidR="001E195E" w:rsidRDefault="00797F2E">
      <w:pPr>
        <w:pStyle w:val="TOC1"/>
        <w:tabs>
          <w:tab w:val="right" w:leader="dot" w:pos="8296"/>
        </w:tabs>
        <w:rPr>
          <w:rFonts w:asciiTheme="minorHAnsi" w:eastAsiaTheme="minorEastAsia" w:hAnsiTheme="minorHAnsi" w:cstheme="minorBidi"/>
          <w:noProof/>
          <w:sz w:val="22"/>
          <w:szCs w:val="22"/>
          <w:lang w:eastAsia="en-GB"/>
        </w:rPr>
      </w:pPr>
      <w:hyperlink w:anchor="_Toc408471426" w:history="1">
        <w:r w:rsidR="001E195E" w:rsidRPr="005B6EF0">
          <w:rPr>
            <w:rStyle w:val="Hyperlink"/>
            <w:noProof/>
          </w:rPr>
          <w:t>About this document</w:t>
        </w:r>
        <w:r w:rsidR="001E195E">
          <w:rPr>
            <w:noProof/>
            <w:webHidden/>
          </w:rPr>
          <w:tab/>
        </w:r>
        <w:r>
          <w:rPr>
            <w:noProof/>
            <w:webHidden/>
          </w:rPr>
          <w:fldChar w:fldCharType="begin"/>
        </w:r>
        <w:r w:rsidR="001E195E">
          <w:rPr>
            <w:noProof/>
            <w:webHidden/>
          </w:rPr>
          <w:instrText xml:space="preserve"> PAGEREF _Toc408471426 \h </w:instrText>
        </w:r>
        <w:r>
          <w:rPr>
            <w:noProof/>
            <w:webHidden/>
          </w:rPr>
        </w:r>
        <w:r>
          <w:rPr>
            <w:noProof/>
            <w:webHidden/>
          </w:rPr>
          <w:fldChar w:fldCharType="separate"/>
        </w:r>
        <w:r w:rsidR="001E195E">
          <w:rPr>
            <w:noProof/>
            <w:webHidden/>
          </w:rPr>
          <w:t>3</w:t>
        </w:r>
        <w:r>
          <w:rPr>
            <w:noProof/>
            <w:webHidden/>
          </w:rPr>
          <w:fldChar w:fldCharType="end"/>
        </w:r>
      </w:hyperlink>
    </w:p>
    <w:p w:rsidR="001E195E" w:rsidRDefault="00797F2E">
      <w:pPr>
        <w:pStyle w:val="TOC2"/>
        <w:tabs>
          <w:tab w:val="right" w:leader="dot" w:pos="8296"/>
        </w:tabs>
        <w:rPr>
          <w:rFonts w:asciiTheme="minorHAnsi" w:eastAsiaTheme="minorEastAsia" w:hAnsiTheme="minorHAnsi" w:cstheme="minorBidi"/>
          <w:noProof/>
          <w:sz w:val="22"/>
          <w:szCs w:val="22"/>
          <w:lang w:eastAsia="en-GB"/>
        </w:rPr>
      </w:pPr>
      <w:hyperlink w:anchor="_Toc408471427" w:history="1">
        <w:r w:rsidR="001E195E" w:rsidRPr="005B6EF0">
          <w:rPr>
            <w:rStyle w:val="Hyperlink"/>
            <w:noProof/>
          </w:rPr>
          <w:t>Revisions</w:t>
        </w:r>
        <w:r w:rsidR="001E195E">
          <w:rPr>
            <w:noProof/>
            <w:webHidden/>
          </w:rPr>
          <w:tab/>
        </w:r>
        <w:r>
          <w:rPr>
            <w:noProof/>
            <w:webHidden/>
          </w:rPr>
          <w:fldChar w:fldCharType="begin"/>
        </w:r>
        <w:r w:rsidR="001E195E">
          <w:rPr>
            <w:noProof/>
            <w:webHidden/>
          </w:rPr>
          <w:instrText xml:space="preserve"> PAGEREF _Toc408471427 \h </w:instrText>
        </w:r>
        <w:r>
          <w:rPr>
            <w:noProof/>
            <w:webHidden/>
          </w:rPr>
        </w:r>
        <w:r>
          <w:rPr>
            <w:noProof/>
            <w:webHidden/>
          </w:rPr>
          <w:fldChar w:fldCharType="separate"/>
        </w:r>
        <w:r w:rsidR="001E195E">
          <w:rPr>
            <w:noProof/>
            <w:webHidden/>
          </w:rPr>
          <w:t>3</w:t>
        </w:r>
        <w:r>
          <w:rPr>
            <w:noProof/>
            <w:webHidden/>
          </w:rPr>
          <w:fldChar w:fldCharType="end"/>
        </w:r>
      </w:hyperlink>
    </w:p>
    <w:p w:rsidR="001E195E" w:rsidRDefault="00797F2E">
      <w:pPr>
        <w:pStyle w:val="TOC2"/>
        <w:tabs>
          <w:tab w:val="right" w:leader="dot" w:pos="8296"/>
        </w:tabs>
        <w:rPr>
          <w:rFonts w:asciiTheme="minorHAnsi" w:eastAsiaTheme="minorEastAsia" w:hAnsiTheme="minorHAnsi" w:cstheme="minorBidi"/>
          <w:noProof/>
          <w:sz w:val="22"/>
          <w:szCs w:val="22"/>
          <w:lang w:eastAsia="en-GB"/>
        </w:rPr>
      </w:pPr>
      <w:hyperlink w:anchor="_Toc408471428" w:history="1">
        <w:r w:rsidR="001E195E" w:rsidRPr="005B6EF0">
          <w:rPr>
            <w:rStyle w:val="Hyperlink"/>
            <w:noProof/>
          </w:rPr>
          <w:t>Distribution</w:t>
        </w:r>
        <w:r w:rsidR="001E195E">
          <w:rPr>
            <w:noProof/>
            <w:webHidden/>
          </w:rPr>
          <w:tab/>
        </w:r>
        <w:r>
          <w:rPr>
            <w:noProof/>
            <w:webHidden/>
          </w:rPr>
          <w:fldChar w:fldCharType="begin"/>
        </w:r>
        <w:r w:rsidR="001E195E">
          <w:rPr>
            <w:noProof/>
            <w:webHidden/>
          </w:rPr>
          <w:instrText xml:space="preserve"> PAGEREF _Toc408471428 \h </w:instrText>
        </w:r>
        <w:r>
          <w:rPr>
            <w:noProof/>
            <w:webHidden/>
          </w:rPr>
        </w:r>
        <w:r>
          <w:rPr>
            <w:noProof/>
            <w:webHidden/>
          </w:rPr>
          <w:fldChar w:fldCharType="separate"/>
        </w:r>
        <w:r w:rsidR="001E195E">
          <w:rPr>
            <w:noProof/>
            <w:webHidden/>
          </w:rPr>
          <w:t>3</w:t>
        </w:r>
        <w:r>
          <w:rPr>
            <w:noProof/>
            <w:webHidden/>
          </w:rPr>
          <w:fldChar w:fldCharType="end"/>
        </w:r>
      </w:hyperlink>
    </w:p>
    <w:p w:rsidR="001E195E" w:rsidRDefault="00797F2E">
      <w:pPr>
        <w:pStyle w:val="TOC2"/>
        <w:tabs>
          <w:tab w:val="right" w:leader="dot" w:pos="8296"/>
        </w:tabs>
        <w:rPr>
          <w:rFonts w:asciiTheme="minorHAnsi" w:eastAsiaTheme="minorEastAsia" w:hAnsiTheme="minorHAnsi" w:cstheme="minorBidi"/>
          <w:noProof/>
          <w:sz w:val="22"/>
          <w:szCs w:val="22"/>
          <w:lang w:eastAsia="en-GB"/>
        </w:rPr>
      </w:pPr>
      <w:hyperlink w:anchor="_Toc408471429" w:history="1">
        <w:r w:rsidR="001E195E" w:rsidRPr="005B6EF0">
          <w:rPr>
            <w:rStyle w:val="Hyperlink"/>
            <w:noProof/>
          </w:rPr>
          <w:t>Sales invoicing</w:t>
        </w:r>
        <w:r w:rsidR="001E195E">
          <w:rPr>
            <w:noProof/>
            <w:webHidden/>
          </w:rPr>
          <w:tab/>
        </w:r>
        <w:r>
          <w:rPr>
            <w:noProof/>
            <w:webHidden/>
          </w:rPr>
          <w:fldChar w:fldCharType="begin"/>
        </w:r>
        <w:r w:rsidR="001E195E">
          <w:rPr>
            <w:noProof/>
            <w:webHidden/>
          </w:rPr>
          <w:instrText xml:space="preserve"> PAGEREF _Toc408471429 \h </w:instrText>
        </w:r>
        <w:r>
          <w:rPr>
            <w:noProof/>
            <w:webHidden/>
          </w:rPr>
        </w:r>
        <w:r>
          <w:rPr>
            <w:noProof/>
            <w:webHidden/>
          </w:rPr>
          <w:fldChar w:fldCharType="separate"/>
        </w:r>
        <w:r w:rsidR="001E195E">
          <w:rPr>
            <w:noProof/>
            <w:webHidden/>
          </w:rPr>
          <w:t>4</w:t>
        </w:r>
        <w:r>
          <w:rPr>
            <w:noProof/>
            <w:webHidden/>
          </w:rPr>
          <w:fldChar w:fldCharType="end"/>
        </w:r>
      </w:hyperlink>
    </w:p>
    <w:p w:rsidR="001E195E" w:rsidRDefault="00797F2E">
      <w:pPr>
        <w:pStyle w:val="TOC2"/>
        <w:tabs>
          <w:tab w:val="right" w:leader="dot" w:pos="8296"/>
        </w:tabs>
        <w:rPr>
          <w:rFonts w:asciiTheme="minorHAnsi" w:eastAsiaTheme="minorEastAsia" w:hAnsiTheme="minorHAnsi" w:cstheme="minorBidi"/>
          <w:noProof/>
          <w:sz w:val="22"/>
          <w:szCs w:val="22"/>
          <w:lang w:eastAsia="en-GB"/>
        </w:rPr>
      </w:pPr>
      <w:hyperlink w:anchor="_Toc408471430" w:history="1">
        <w:r w:rsidR="001E195E" w:rsidRPr="005B6EF0">
          <w:rPr>
            <w:rStyle w:val="Hyperlink"/>
            <w:noProof/>
          </w:rPr>
          <w:t>Intra-company (IC) invoicing</w:t>
        </w:r>
        <w:r w:rsidR="001E195E">
          <w:rPr>
            <w:noProof/>
            <w:webHidden/>
          </w:rPr>
          <w:tab/>
        </w:r>
        <w:r>
          <w:rPr>
            <w:noProof/>
            <w:webHidden/>
          </w:rPr>
          <w:fldChar w:fldCharType="begin"/>
        </w:r>
        <w:r w:rsidR="001E195E">
          <w:rPr>
            <w:noProof/>
            <w:webHidden/>
          </w:rPr>
          <w:instrText xml:space="preserve"> PAGEREF _Toc408471430 \h </w:instrText>
        </w:r>
        <w:r>
          <w:rPr>
            <w:noProof/>
            <w:webHidden/>
          </w:rPr>
        </w:r>
        <w:r>
          <w:rPr>
            <w:noProof/>
            <w:webHidden/>
          </w:rPr>
          <w:fldChar w:fldCharType="separate"/>
        </w:r>
        <w:r w:rsidR="001E195E">
          <w:rPr>
            <w:noProof/>
            <w:webHidden/>
          </w:rPr>
          <w:t>6</w:t>
        </w:r>
        <w:r>
          <w:rPr>
            <w:noProof/>
            <w:webHidden/>
          </w:rPr>
          <w:fldChar w:fldCharType="end"/>
        </w:r>
      </w:hyperlink>
    </w:p>
    <w:p w:rsidR="00804728" w:rsidRDefault="00797F2E">
      <w:pPr>
        <w:pStyle w:val="Heading1"/>
      </w:pPr>
      <w:r>
        <w:fldChar w:fldCharType="end"/>
      </w:r>
      <w:r w:rsidR="00804728">
        <w:br w:type="page"/>
      </w:r>
      <w:bookmarkStart w:id="2" w:name="_Toc52879680"/>
      <w:bookmarkStart w:id="3" w:name="_Toc53196999"/>
      <w:bookmarkStart w:id="4" w:name="_Toc55644681"/>
      <w:bookmarkStart w:id="5" w:name="_Toc55644920"/>
      <w:bookmarkStart w:id="6" w:name="_Toc55701540"/>
      <w:bookmarkStart w:id="7" w:name="_Toc55880241"/>
      <w:bookmarkStart w:id="8" w:name="_Toc85426441"/>
      <w:bookmarkStart w:id="9" w:name="_Toc112558222"/>
      <w:bookmarkStart w:id="10" w:name="_Toc128364776"/>
      <w:bookmarkStart w:id="11" w:name="_Toc139164793"/>
      <w:bookmarkStart w:id="12" w:name="_Toc408471426"/>
      <w:r w:rsidR="00804728">
        <w:lastRenderedPageBreak/>
        <w:t>About this document</w:t>
      </w:r>
      <w:bookmarkEnd w:id="2"/>
      <w:bookmarkEnd w:id="3"/>
      <w:bookmarkEnd w:id="4"/>
      <w:bookmarkEnd w:id="5"/>
      <w:bookmarkEnd w:id="6"/>
      <w:bookmarkEnd w:id="7"/>
      <w:bookmarkEnd w:id="8"/>
      <w:bookmarkEnd w:id="9"/>
      <w:bookmarkEnd w:id="10"/>
      <w:bookmarkEnd w:id="11"/>
      <w:bookmarkEnd w:id="12"/>
    </w:p>
    <w:p w:rsidR="00804728" w:rsidRDefault="00804728">
      <w:pPr>
        <w:pStyle w:val="Heading2"/>
      </w:pPr>
      <w:bookmarkStart w:id="13" w:name="_Toc52879681"/>
      <w:bookmarkStart w:id="14" w:name="_Toc53197000"/>
      <w:bookmarkStart w:id="15" w:name="_Toc55644682"/>
      <w:bookmarkStart w:id="16" w:name="_Toc55644921"/>
      <w:bookmarkStart w:id="17" w:name="_Toc55701541"/>
      <w:bookmarkStart w:id="18" w:name="_Toc55880242"/>
      <w:bookmarkStart w:id="19" w:name="_Toc85426442"/>
      <w:bookmarkStart w:id="20" w:name="_Toc112558223"/>
      <w:bookmarkStart w:id="21" w:name="_Toc128364777"/>
      <w:bookmarkStart w:id="22" w:name="_Toc139164794"/>
      <w:bookmarkStart w:id="23" w:name="_Toc408471427"/>
      <w:r>
        <w:t>Revisions</w:t>
      </w:r>
      <w:bookmarkEnd w:id="13"/>
      <w:bookmarkEnd w:id="14"/>
      <w:bookmarkEnd w:id="15"/>
      <w:bookmarkEnd w:id="16"/>
      <w:bookmarkEnd w:id="17"/>
      <w:bookmarkEnd w:id="18"/>
      <w:bookmarkEnd w:id="19"/>
      <w:bookmarkEnd w:id="20"/>
      <w:bookmarkEnd w:id="21"/>
      <w:bookmarkEnd w:id="22"/>
      <w:bookmarkEnd w:id="23"/>
    </w:p>
    <w:p w:rsidR="00804728" w:rsidRDefault="00804728"/>
    <w:tbl>
      <w:tblPr>
        <w:tblW w:w="8414" w:type="dxa"/>
        <w:tblInd w:w="108" w:type="dxa"/>
        <w:tblBorders>
          <w:top w:val="single" w:sz="4" w:space="0" w:color="C0C0C0"/>
          <w:left w:val="single" w:sz="4" w:space="0" w:color="C0C0C0"/>
          <w:bottom w:val="single" w:sz="4" w:space="0" w:color="C0C0C0"/>
          <w:right w:val="single" w:sz="4" w:space="0" w:color="C0C0C0"/>
        </w:tblBorders>
        <w:tblLook w:val="0000"/>
      </w:tblPr>
      <w:tblGrid>
        <w:gridCol w:w="917"/>
        <w:gridCol w:w="1453"/>
        <w:gridCol w:w="1230"/>
        <w:gridCol w:w="4814"/>
      </w:tblGrid>
      <w:tr w:rsidR="0029699A" w:rsidTr="00C754E3">
        <w:tc>
          <w:tcPr>
            <w:tcW w:w="917" w:type="dxa"/>
            <w:tcBorders>
              <w:top w:val="single" w:sz="4" w:space="0" w:color="C0C0C0"/>
              <w:left w:val="single" w:sz="4" w:space="0" w:color="C0C0C0"/>
              <w:bottom w:val="single" w:sz="4" w:space="0" w:color="C0C0C0"/>
              <w:right w:val="single" w:sz="4" w:space="0" w:color="C0C0C0"/>
            </w:tcBorders>
          </w:tcPr>
          <w:p w:rsidR="0029699A" w:rsidRDefault="0029699A">
            <w:pPr>
              <w:rPr>
                <w:b/>
                <w:bCs/>
              </w:rPr>
            </w:pPr>
            <w:r>
              <w:rPr>
                <w:b/>
                <w:bCs/>
              </w:rPr>
              <w:t>Version</w:t>
            </w:r>
          </w:p>
        </w:tc>
        <w:tc>
          <w:tcPr>
            <w:tcW w:w="1453" w:type="dxa"/>
            <w:tcBorders>
              <w:top w:val="single" w:sz="4" w:space="0" w:color="C0C0C0"/>
              <w:left w:val="single" w:sz="4" w:space="0" w:color="C0C0C0"/>
              <w:bottom w:val="single" w:sz="4" w:space="0" w:color="C0C0C0"/>
              <w:right w:val="single" w:sz="4" w:space="0" w:color="C0C0C0"/>
            </w:tcBorders>
          </w:tcPr>
          <w:p w:rsidR="0029699A" w:rsidRDefault="0029699A">
            <w:pPr>
              <w:rPr>
                <w:b/>
                <w:bCs/>
              </w:rPr>
            </w:pPr>
            <w:r>
              <w:rPr>
                <w:b/>
                <w:bCs/>
              </w:rPr>
              <w:t>Date Issued</w:t>
            </w:r>
          </w:p>
        </w:tc>
        <w:tc>
          <w:tcPr>
            <w:tcW w:w="1230" w:type="dxa"/>
            <w:tcBorders>
              <w:top w:val="single" w:sz="4" w:space="0" w:color="C0C0C0"/>
              <w:left w:val="single" w:sz="4" w:space="0" w:color="C0C0C0"/>
              <w:bottom w:val="single" w:sz="4" w:space="0" w:color="C0C0C0"/>
              <w:right w:val="single" w:sz="4" w:space="0" w:color="C0C0C0"/>
            </w:tcBorders>
          </w:tcPr>
          <w:p w:rsidR="0029699A" w:rsidRDefault="0029699A">
            <w:pPr>
              <w:rPr>
                <w:b/>
                <w:bCs/>
              </w:rPr>
            </w:pPr>
            <w:r>
              <w:rPr>
                <w:b/>
                <w:bCs/>
              </w:rPr>
              <w:t>Author</w:t>
            </w:r>
          </w:p>
        </w:tc>
        <w:tc>
          <w:tcPr>
            <w:tcW w:w="4814" w:type="dxa"/>
            <w:tcBorders>
              <w:top w:val="single" w:sz="4" w:space="0" w:color="C0C0C0"/>
              <w:left w:val="single" w:sz="4" w:space="0" w:color="C0C0C0"/>
              <w:bottom w:val="single" w:sz="4" w:space="0" w:color="C0C0C0"/>
              <w:right w:val="single" w:sz="4" w:space="0" w:color="C0C0C0"/>
            </w:tcBorders>
          </w:tcPr>
          <w:p w:rsidR="0029699A" w:rsidRDefault="0029699A">
            <w:pPr>
              <w:rPr>
                <w:b/>
                <w:bCs/>
              </w:rPr>
            </w:pPr>
            <w:r>
              <w:rPr>
                <w:b/>
                <w:bCs/>
              </w:rPr>
              <w:t>Main changes</w:t>
            </w:r>
          </w:p>
          <w:p w:rsidR="0029699A" w:rsidRDefault="0029699A">
            <w:pPr>
              <w:rPr>
                <w:b/>
                <w:bCs/>
              </w:rPr>
            </w:pPr>
          </w:p>
        </w:tc>
      </w:tr>
      <w:tr w:rsidR="00C754E3" w:rsidTr="00C754E3">
        <w:tc>
          <w:tcPr>
            <w:tcW w:w="917" w:type="dxa"/>
            <w:tcBorders>
              <w:top w:val="single" w:sz="4" w:space="0" w:color="C0C0C0"/>
              <w:left w:val="single" w:sz="4" w:space="0" w:color="C0C0C0"/>
              <w:bottom w:val="single" w:sz="4" w:space="0" w:color="C0C0C0"/>
              <w:right w:val="single" w:sz="4" w:space="0" w:color="C0C0C0"/>
            </w:tcBorders>
          </w:tcPr>
          <w:p w:rsidR="00C754E3" w:rsidRDefault="00CE1501" w:rsidP="00CA6813">
            <w:pPr>
              <w:jc w:val="center"/>
            </w:pPr>
            <w:r>
              <w:t>0.1</w:t>
            </w:r>
          </w:p>
        </w:tc>
        <w:tc>
          <w:tcPr>
            <w:tcW w:w="1453" w:type="dxa"/>
            <w:tcBorders>
              <w:top w:val="single" w:sz="4" w:space="0" w:color="C0C0C0"/>
              <w:left w:val="single" w:sz="4" w:space="0" w:color="C0C0C0"/>
              <w:bottom w:val="single" w:sz="4" w:space="0" w:color="C0C0C0"/>
              <w:right w:val="single" w:sz="4" w:space="0" w:color="C0C0C0"/>
            </w:tcBorders>
          </w:tcPr>
          <w:p w:rsidR="00C754E3" w:rsidRDefault="00F56E7D" w:rsidP="007B0E64">
            <w:r>
              <w:t>0</w:t>
            </w:r>
            <w:r w:rsidR="007B0E64">
              <w:t>8</w:t>
            </w:r>
            <w:r>
              <w:t>/01/2015</w:t>
            </w:r>
          </w:p>
        </w:tc>
        <w:tc>
          <w:tcPr>
            <w:tcW w:w="1230" w:type="dxa"/>
            <w:tcBorders>
              <w:top w:val="single" w:sz="4" w:space="0" w:color="C0C0C0"/>
              <w:left w:val="single" w:sz="4" w:space="0" w:color="C0C0C0"/>
              <w:bottom w:val="single" w:sz="4" w:space="0" w:color="C0C0C0"/>
              <w:right w:val="single" w:sz="4" w:space="0" w:color="C0C0C0"/>
            </w:tcBorders>
          </w:tcPr>
          <w:p w:rsidR="00C754E3" w:rsidRDefault="00F56E7D" w:rsidP="00CA6813">
            <w:r>
              <w:t>Atish Dhaya</w:t>
            </w:r>
          </w:p>
        </w:tc>
        <w:tc>
          <w:tcPr>
            <w:tcW w:w="4814" w:type="dxa"/>
            <w:tcBorders>
              <w:top w:val="single" w:sz="4" w:space="0" w:color="C0C0C0"/>
              <w:left w:val="single" w:sz="4" w:space="0" w:color="C0C0C0"/>
              <w:bottom w:val="single" w:sz="4" w:space="0" w:color="C0C0C0"/>
              <w:right w:val="single" w:sz="4" w:space="0" w:color="C0C0C0"/>
            </w:tcBorders>
          </w:tcPr>
          <w:p w:rsidR="00C754E3" w:rsidRDefault="002E34C2" w:rsidP="00C754E3">
            <w:pPr>
              <w:numPr>
                <w:ilvl w:val="0"/>
                <w:numId w:val="1"/>
              </w:numPr>
              <w:tabs>
                <w:tab w:val="clear" w:pos="720"/>
                <w:tab w:val="num" w:pos="251"/>
              </w:tabs>
              <w:ind w:left="251" w:hanging="251"/>
            </w:pPr>
            <w:r>
              <w:t>Initial Revision</w:t>
            </w:r>
          </w:p>
        </w:tc>
      </w:tr>
      <w:tr w:rsidR="006F353F" w:rsidTr="00C754E3">
        <w:tc>
          <w:tcPr>
            <w:tcW w:w="917" w:type="dxa"/>
            <w:tcBorders>
              <w:top w:val="single" w:sz="4" w:space="0" w:color="C0C0C0"/>
              <w:left w:val="single" w:sz="4" w:space="0" w:color="C0C0C0"/>
              <w:bottom w:val="single" w:sz="4" w:space="0" w:color="C0C0C0"/>
              <w:right w:val="single" w:sz="4" w:space="0" w:color="C0C0C0"/>
            </w:tcBorders>
          </w:tcPr>
          <w:p w:rsidR="006F353F" w:rsidRDefault="006F353F" w:rsidP="00CA6813">
            <w:pPr>
              <w:jc w:val="center"/>
            </w:pPr>
          </w:p>
        </w:tc>
        <w:tc>
          <w:tcPr>
            <w:tcW w:w="1453" w:type="dxa"/>
            <w:tcBorders>
              <w:top w:val="single" w:sz="4" w:space="0" w:color="C0C0C0"/>
              <w:left w:val="single" w:sz="4" w:space="0" w:color="C0C0C0"/>
              <w:bottom w:val="single" w:sz="4" w:space="0" w:color="C0C0C0"/>
              <w:right w:val="single" w:sz="4" w:space="0" w:color="C0C0C0"/>
            </w:tcBorders>
          </w:tcPr>
          <w:p w:rsidR="006F353F" w:rsidRDefault="006F353F" w:rsidP="00CA6813"/>
        </w:tc>
        <w:tc>
          <w:tcPr>
            <w:tcW w:w="1230" w:type="dxa"/>
            <w:tcBorders>
              <w:top w:val="single" w:sz="4" w:space="0" w:color="C0C0C0"/>
              <w:left w:val="single" w:sz="4" w:space="0" w:color="C0C0C0"/>
              <w:bottom w:val="single" w:sz="4" w:space="0" w:color="C0C0C0"/>
              <w:right w:val="single" w:sz="4" w:space="0" w:color="C0C0C0"/>
            </w:tcBorders>
          </w:tcPr>
          <w:p w:rsidR="006F353F" w:rsidRDefault="006F353F" w:rsidP="00CA6813"/>
        </w:tc>
        <w:tc>
          <w:tcPr>
            <w:tcW w:w="4814" w:type="dxa"/>
            <w:tcBorders>
              <w:top w:val="single" w:sz="4" w:space="0" w:color="C0C0C0"/>
              <w:left w:val="single" w:sz="4" w:space="0" w:color="C0C0C0"/>
              <w:bottom w:val="single" w:sz="4" w:space="0" w:color="C0C0C0"/>
              <w:right w:val="single" w:sz="4" w:space="0" w:color="C0C0C0"/>
            </w:tcBorders>
          </w:tcPr>
          <w:p w:rsidR="006F353F" w:rsidRDefault="006F353F" w:rsidP="006F353F">
            <w:pPr>
              <w:ind w:left="251"/>
            </w:pPr>
          </w:p>
        </w:tc>
      </w:tr>
      <w:tr w:rsidR="006F353F" w:rsidTr="00C754E3">
        <w:tc>
          <w:tcPr>
            <w:tcW w:w="917" w:type="dxa"/>
            <w:tcBorders>
              <w:top w:val="single" w:sz="4" w:space="0" w:color="C0C0C0"/>
              <w:left w:val="single" w:sz="4" w:space="0" w:color="C0C0C0"/>
              <w:bottom w:val="single" w:sz="4" w:space="0" w:color="C0C0C0"/>
              <w:right w:val="single" w:sz="4" w:space="0" w:color="C0C0C0"/>
            </w:tcBorders>
          </w:tcPr>
          <w:p w:rsidR="006F353F" w:rsidRDefault="006F353F" w:rsidP="00CA6813">
            <w:pPr>
              <w:jc w:val="center"/>
            </w:pPr>
          </w:p>
        </w:tc>
        <w:tc>
          <w:tcPr>
            <w:tcW w:w="1453" w:type="dxa"/>
            <w:tcBorders>
              <w:top w:val="single" w:sz="4" w:space="0" w:color="C0C0C0"/>
              <w:left w:val="single" w:sz="4" w:space="0" w:color="C0C0C0"/>
              <w:bottom w:val="single" w:sz="4" w:space="0" w:color="C0C0C0"/>
              <w:right w:val="single" w:sz="4" w:space="0" w:color="C0C0C0"/>
            </w:tcBorders>
          </w:tcPr>
          <w:p w:rsidR="006F353F" w:rsidRDefault="006F353F" w:rsidP="00CA6813"/>
        </w:tc>
        <w:tc>
          <w:tcPr>
            <w:tcW w:w="1230" w:type="dxa"/>
            <w:tcBorders>
              <w:top w:val="single" w:sz="4" w:space="0" w:color="C0C0C0"/>
              <w:left w:val="single" w:sz="4" w:space="0" w:color="C0C0C0"/>
              <w:bottom w:val="single" w:sz="4" w:space="0" w:color="C0C0C0"/>
              <w:right w:val="single" w:sz="4" w:space="0" w:color="C0C0C0"/>
            </w:tcBorders>
          </w:tcPr>
          <w:p w:rsidR="006F353F" w:rsidRDefault="006F353F" w:rsidP="00CA6813"/>
        </w:tc>
        <w:tc>
          <w:tcPr>
            <w:tcW w:w="4814" w:type="dxa"/>
            <w:tcBorders>
              <w:top w:val="single" w:sz="4" w:space="0" w:color="C0C0C0"/>
              <w:left w:val="single" w:sz="4" w:space="0" w:color="C0C0C0"/>
              <w:bottom w:val="single" w:sz="4" w:space="0" w:color="C0C0C0"/>
              <w:right w:val="single" w:sz="4" w:space="0" w:color="C0C0C0"/>
            </w:tcBorders>
          </w:tcPr>
          <w:p w:rsidR="006F353F" w:rsidRDefault="006F353F" w:rsidP="006F353F">
            <w:pPr>
              <w:ind w:left="251"/>
            </w:pPr>
          </w:p>
        </w:tc>
      </w:tr>
    </w:tbl>
    <w:p w:rsidR="00804728" w:rsidRDefault="00804728"/>
    <w:p w:rsidR="00804728" w:rsidRDefault="00804728">
      <w:pPr>
        <w:pStyle w:val="Heading2"/>
      </w:pPr>
      <w:bookmarkStart w:id="24" w:name="_Toc111622840"/>
      <w:bookmarkStart w:id="25" w:name="_Toc112558224"/>
      <w:bookmarkStart w:id="26" w:name="_Toc128364778"/>
      <w:bookmarkStart w:id="27" w:name="_Toc139164795"/>
      <w:bookmarkStart w:id="28" w:name="_Toc408471428"/>
      <w:r>
        <w:t>Distribution</w:t>
      </w:r>
      <w:bookmarkEnd w:id="24"/>
      <w:bookmarkEnd w:id="25"/>
      <w:bookmarkEnd w:id="26"/>
      <w:bookmarkEnd w:id="27"/>
      <w:bookmarkEnd w:id="28"/>
    </w:p>
    <w:p w:rsidR="00804728" w:rsidRDefault="00804728">
      <w:r>
        <w:t>This document is intended for distribution to management within Miki Travel only.</w:t>
      </w:r>
    </w:p>
    <w:p w:rsidR="00804728" w:rsidRDefault="00804728">
      <w:r>
        <w:t>This document should not be sent to any party outside of Miki Travel without the agreement of the author.</w:t>
      </w:r>
    </w:p>
    <w:p w:rsidR="00804728" w:rsidRDefault="00804728"/>
    <w:p w:rsidR="00F56E7D" w:rsidRDefault="00804728" w:rsidP="0038039B">
      <w:pPr>
        <w:pStyle w:val="Heading2"/>
        <w:spacing w:before="0" w:after="120"/>
      </w:pPr>
      <w:r>
        <w:br w:type="page"/>
      </w:r>
      <w:bookmarkStart w:id="29" w:name="_Toc408471429"/>
      <w:r w:rsidR="001E195E">
        <w:lastRenderedPageBreak/>
        <w:t>Sales i</w:t>
      </w:r>
      <w:r w:rsidR="00F56E7D">
        <w:t>nvoicing</w:t>
      </w:r>
      <w:bookmarkEnd w:id="29"/>
    </w:p>
    <w:p w:rsidR="00F56E7D" w:rsidRPr="00E27E5D" w:rsidRDefault="00F56E7D" w:rsidP="00166234">
      <w:pPr>
        <w:pStyle w:val="Subtitle"/>
        <w:spacing w:after="120"/>
      </w:pPr>
      <w:r>
        <w:t>What is a sales invoice</w:t>
      </w:r>
    </w:p>
    <w:p w:rsidR="00F56E7D" w:rsidRDefault="00F56E7D" w:rsidP="00F56E7D">
      <w:pPr>
        <w:spacing w:after="240"/>
      </w:pPr>
      <w:r>
        <w:t>This is a process by which each of the sales profit centre bill their clients</w:t>
      </w:r>
      <w:r w:rsidR="00607702">
        <w:t xml:space="preserve"> (external to the Miki Group)</w:t>
      </w:r>
      <w:r w:rsidR="00886D36">
        <w:t xml:space="preserve"> for any booking</w:t>
      </w:r>
      <w:r w:rsidR="00E10887">
        <w:t>s</w:t>
      </w:r>
      <w:r w:rsidR="00886D36">
        <w:t xml:space="preserve"> that the client has made.</w:t>
      </w:r>
    </w:p>
    <w:p w:rsidR="00F56E7D" w:rsidRDefault="00F56E7D" w:rsidP="00166234">
      <w:pPr>
        <w:pStyle w:val="Subtitle"/>
        <w:spacing w:after="120"/>
      </w:pPr>
      <w:r>
        <w:t>Process</w:t>
      </w:r>
    </w:p>
    <w:p w:rsidR="00F56E7D" w:rsidRDefault="00F56E7D" w:rsidP="00F56E7D">
      <w:r>
        <w:t>eBiz in tandem with AX, run a separate process</w:t>
      </w:r>
      <w:r w:rsidRPr="000E700B">
        <w:t xml:space="preserve"> </w:t>
      </w:r>
      <w:r>
        <w:t>for each of the profit centres to raise the required invoices to their clients. This is currently achieved via an extract and validations process that pushes the data to OSCAR so that the AX staging environment can then process the invoices and advise of the invoice details.</w:t>
      </w:r>
    </w:p>
    <w:p w:rsidR="001C3695" w:rsidRDefault="001C3695" w:rsidP="00F56E7D"/>
    <w:p w:rsidR="00F56E7D" w:rsidRDefault="00E966E6" w:rsidP="00F56E7D">
      <w:r>
        <w:object w:dxaOrig="10860" w:dyaOrig="6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35pt;height:249.25pt" o:ole="">
            <v:imagedata r:id="rId9" o:title=""/>
          </v:shape>
          <o:OLEObject Type="Embed" ProgID="Visio.Drawing.11" ShapeID="_x0000_i1025" DrawAspect="Content" ObjectID="_1482583227" r:id="rId10"/>
        </w:object>
      </w:r>
    </w:p>
    <w:p w:rsidR="0038039B" w:rsidRDefault="0038039B" w:rsidP="00F56E7D">
      <w:pPr>
        <w:rPr>
          <w:i/>
        </w:rPr>
      </w:pPr>
      <w:r w:rsidRPr="0038039B">
        <w:rPr>
          <w:i/>
        </w:rPr>
        <w:t>Fig 1</w:t>
      </w:r>
      <w:r w:rsidR="00837E14">
        <w:rPr>
          <w:i/>
        </w:rPr>
        <w:t>: Sales invoice process</w:t>
      </w:r>
    </w:p>
    <w:p w:rsidR="0038039B" w:rsidRPr="0038039B" w:rsidRDefault="0038039B" w:rsidP="00F56E7D">
      <w:pPr>
        <w:rPr>
          <w:i/>
        </w:rPr>
      </w:pPr>
    </w:p>
    <w:p w:rsidR="00F56E7D" w:rsidRDefault="00F56E7D" w:rsidP="00166234">
      <w:pPr>
        <w:pStyle w:val="Subtitle"/>
        <w:spacing w:after="120"/>
      </w:pPr>
      <w:r>
        <w:t>How are invoices generated for each profit centre?</w:t>
      </w:r>
    </w:p>
    <w:p w:rsidR="00F56E7D" w:rsidRDefault="00F56E7D" w:rsidP="00F56E7D">
      <w:r>
        <w:t xml:space="preserve">Individual scheduled processes are initiated daily for each profit centre, selecting only their respective bookings that need to be invoiced. The process in raising the invoices remains the same for all profit centres as per </w:t>
      </w:r>
      <w:r w:rsidR="004E15ED">
        <w:t>Fig 1</w:t>
      </w:r>
      <w:r>
        <w:t>.</w:t>
      </w:r>
    </w:p>
    <w:p w:rsidR="00E966E6" w:rsidRDefault="00E966E6" w:rsidP="00F56E7D">
      <w:r>
        <w:t xml:space="preserve">The main </w:t>
      </w:r>
      <w:r w:rsidR="00FF1263">
        <w:t>difference</w:t>
      </w:r>
      <w:r>
        <w:t xml:space="preserve"> between JPN and the other profit centres, is that Japan raises the invoice at Booking reference level, whilst the other profit centres raise them at Tour reference level.</w:t>
      </w:r>
    </w:p>
    <w:p w:rsidR="00F56E7D" w:rsidRDefault="00F56E7D" w:rsidP="00F56E7D"/>
    <w:p w:rsidR="00F56E7D" w:rsidRDefault="00F56E7D" w:rsidP="00166234">
      <w:pPr>
        <w:pStyle w:val="Subtitle"/>
        <w:spacing w:after="120"/>
      </w:pPr>
      <w:r>
        <w:t>When do we automatically raise Sales Invoices to clients?</w:t>
      </w:r>
    </w:p>
    <w:p w:rsidR="00F56E7D" w:rsidRDefault="00F56E7D" w:rsidP="00F56E7D">
      <w:r>
        <w:t>The triggers for automatic sales invoicing differ per profit centre as follows: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32"/>
        <w:gridCol w:w="4621"/>
      </w:tblGrid>
      <w:tr w:rsidR="00F56E7D" w:rsidTr="0065691D">
        <w:tc>
          <w:tcPr>
            <w:tcW w:w="2932" w:type="dxa"/>
          </w:tcPr>
          <w:p w:rsidR="00F56E7D" w:rsidRDefault="00F56E7D" w:rsidP="0065691D">
            <w:r>
              <w:t>On Account Clients (Non-JPN)</w:t>
            </w:r>
          </w:p>
        </w:tc>
        <w:tc>
          <w:tcPr>
            <w:tcW w:w="4621" w:type="dxa"/>
          </w:tcPr>
          <w:p w:rsidR="00F56E7D" w:rsidRDefault="00F56E7D" w:rsidP="0065691D">
            <w:r>
              <w:t>: On service Date</w:t>
            </w:r>
          </w:p>
        </w:tc>
      </w:tr>
      <w:tr w:rsidR="00F56E7D" w:rsidTr="0065691D">
        <w:tc>
          <w:tcPr>
            <w:tcW w:w="2932" w:type="dxa"/>
          </w:tcPr>
          <w:p w:rsidR="00F56E7D" w:rsidRDefault="00F56E7D" w:rsidP="0065691D">
            <w:r>
              <w:t>On Account Clients (JPN)</w:t>
            </w:r>
          </w:p>
        </w:tc>
        <w:tc>
          <w:tcPr>
            <w:tcW w:w="4621" w:type="dxa"/>
          </w:tcPr>
          <w:p w:rsidR="00F56E7D" w:rsidRDefault="00F56E7D" w:rsidP="0065691D">
            <w:r>
              <w:t>: Based on business rules and contract per client</w:t>
            </w:r>
            <w:r w:rsidRPr="003E034E">
              <w:rPr>
                <w:color w:val="FF0000"/>
                <w:vertAlign w:val="superscript"/>
              </w:rPr>
              <w:t>1</w:t>
            </w:r>
          </w:p>
        </w:tc>
      </w:tr>
      <w:tr w:rsidR="00F56E7D" w:rsidTr="0065691D">
        <w:tc>
          <w:tcPr>
            <w:tcW w:w="2932" w:type="dxa"/>
          </w:tcPr>
          <w:p w:rsidR="00F56E7D" w:rsidRDefault="00F56E7D" w:rsidP="0065691D">
            <w:r>
              <w:t>Prepay Clients (ALL)</w:t>
            </w:r>
          </w:p>
        </w:tc>
        <w:tc>
          <w:tcPr>
            <w:tcW w:w="4621" w:type="dxa"/>
          </w:tcPr>
          <w:p w:rsidR="00F56E7D" w:rsidRDefault="00F56E7D" w:rsidP="0065691D">
            <w:pPr>
              <w:spacing w:after="120"/>
            </w:pPr>
            <w:r>
              <w:t>: A configured number of days before the cancellation deadline date or when a booking is paid (whichever occurs first)</w:t>
            </w:r>
          </w:p>
        </w:tc>
      </w:tr>
    </w:tbl>
    <w:p w:rsidR="00F56E7D" w:rsidRDefault="00F56E7D" w:rsidP="00F56E7D">
      <w:r w:rsidRPr="003E034E">
        <w:rPr>
          <w:color w:val="FF0000"/>
          <w:vertAlign w:val="superscript"/>
        </w:rPr>
        <w:t>1</w:t>
      </w:r>
      <w:r>
        <w:t xml:space="preserve"> See </w:t>
      </w:r>
      <w:r w:rsidRPr="00A37A04">
        <w:t>W:\eBusiness\Projects\TIP\Discovery workshop\12 Accounts and AX\Sales Invoicing</w:t>
      </w:r>
      <w:r>
        <w:t>\Japan Invoicing requirements</w:t>
      </w:r>
    </w:p>
    <w:p w:rsidR="00F56E7D" w:rsidRDefault="00F56E7D" w:rsidP="00166234">
      <w:pPr>
        <w:pStyle w:val="Subtitle"/>
        <w:spacing w:after="120"/>
      </w:pPr>
      <w:r>
        <w:lastRenderedPageBreak/>
        <w:t xml:space="preserve">Where is the source of sales invoicing details and figures? </w:t>
      </w:r>
    </w:p>
    <w:p w:rsidR="00F56E7D" w:rsidRDefault="00F56E7D" w:rsidP="00F56E7D">
      <w:r>
        <w:t>All figures and booking details for automatic sales invoicing is retrieved from eBiz transaction tables. Automatic invoicing does not look at any OSCAR figures.</w:t>
      </w:r>
    </w:p>
    <w:p w:rsidR="00F56E7D" w:rsidRDefault="00F56E7D" w:rsidP="00F56E7D"/>
    <w:p w:rsidR="00DC55C1" w:rsidRDefault="00DC55C1" w:rsidP="00DC55C1">
      <w:pPr>
        <w:pStyle w:val="Subtitle"/>
        <w:spacing w:after="120"/>
      </w:pPr>
      <w:r>
        <w:t>Which product types are invoiced?</w:t>
      </w:r>
    </w:p>
    <w:p w:rsidR="00DC55C1" w:rsidRDefault="00DC55C1" w:rsidP="00DC55C1">
      <w:r>
        <w:t xml:space="preserve">Hotels, Sightseeing and Transfer bookings made via </w:t>
      </w:r>
      <w:r w:rsidR="007B0E64">
        <w:t xml:space="preserve">the </w:t>
      </w:r>
      <w:r>
        <w:t>eBiz systems are invoiced automatically.</w:t>
      </w:r>
    </w:p>
    <w:p w:rsidR="00DC55C1" w:rsidRPr="0032126C" w:rsidRDefault="00DC55C1" w:rsidP="00DC55C1"/>
    <w:p w:rsidR="00F56E7D" w:rsidRDefault="00F56E7D" w:rsidP="00166234">
      <w:pPr>
        <w:pStyle w:val="Subtitle"/>
        <w:spacing w:after="120"/>
      </w:pPr>
      <w:r>
        <w:t>When are eBiz bookings manually invoiced?</w:t>
      </w:r>
    </w:p>
    <w:p w:rsidR="00F56E7D" w:rsidRDefault="00F56E7D" w:rsidP="00F56E7D">
      <w:r>
        <w:t>Whenever changes are made to the booking in OSCAR, the sales person raises the relevant invoice or credit note manually via OSCAR/AX staging invoice interface applications. Additionally, if a client is not configured for auto-invoicing, eg, SHOP eBiz bookings, then these are invoiced manually.</w:t>
      </w:r>
    </w:p>
    <w:p w:rsidR="00F56E7D" w:rsidRDefault="00F56E7D" w:rsidP="00F56E7D"/>
    <w:p w:rsidR="00F56E7D" w:rsidRDefault="00F56E7D" w:rsidP="00166234">
      <w:pPr>
        <w:pStyle w:val="Subtitle"/>
        <w:spacing w:after="120"/>
      </w:pPr>
      <w:r>
        <w:t>What booking processes trigger a Sales Invoice to be generated?</w:t>
      </w:r>
      <w:r>
        <w:tab/>
      </w:r>
    </w:p>
    <w:p w:rsidR="00F56E7D" w:rsidRDefault="00F56E7D" w:rsidP="00F56E7D">
      <w:r>
        <w:t>Once an invoice has been raised in AX, we raise invoices/credit notes for any further changes to the booking.</w:t>
      </w:r>
    </w:p>
    <w:p w:rsidR="00F56E7D" w:rsidRDefault="00F56E7D" w:rsidP="00F56E7D">
      <w:r>
        <w:t xml:space="preserve">This could be as a result of: </w:t>
      </w:r>
    </w:p>
    <w:p w:rsidR="00F56E7D" w:rsidRDefault="00F56E7D" w:rsidP="00F56E7D">
      <w:pPr>
        <w:pStyle w:val="ListParagraph"/>
        <w:numPr>
          <w:ilvl w:val="0"/>
          <w:numId w:val="16"/>
        </w:numPr>
        <w:spacing w:after="200" w:line="276" w:lineRule="auto"/>
      </w:pPr>
      <w:r>
        <w:t>A booking modification</w:t>
      </w:r>
    </w:p>
    <w:p w:rsidR="00F56E7D" w:rsidRDefault="00F56E7D" w:rsidP="00F56E7D">
      <w:pPr>
        <w:pStyle w:val="ListParagraph"/>
        <w:numPr>
          <w:ilvl w:val="0"/>
          <w:numId w:val="16"/>
        </w:numPr>
        <w:spacing w:after="200" w:line="276" w:lineRule="auto"/>
      </w:pPr>
      <w:r>
        <w:t>A booking cancellation</w:t>
      </w:r>
    </w:p>
    <w:p w:rsidR="00F56E7D" w:rsidRDefault="00F56E7D" w:rsidP="00F56E7D">
      <w:pPr>
        <w:pStyle w:val="ListParagraph"/>
        <w:numPr>
          <w:ilvl w:val="0"/>
          <w:numId w:val="16"/>
        </w:numPr>
        <w:spacing w:after="200" w:line="276" w:lineRule="auto"/>
      </w:pPr>
      <w:r>
        <w:t>A booking payment initiated (for prepay client bookings)</w:t>
      </w:r>
    </w:p>
    <w:p w:rsidR="00F56E7D" w:rsidRDefault="00F56E7D" w:rsidP="00F56E7D">
      <w:r>
        <w:t>For information purposes only, AX raises a full credit note for the pre-mod/cxl booking and raises a new invoice for the revised booking. This does not impact eBiz booking transactions in any way.</w:t>
      </w:r>
    </w:p>
    <w:p w:rsidR="00F56E7D" w:rsidRDefault="00F56E7D" w:rsidP="00F56E7D"/>
    <w:p w:rsidR="00F56E7D" w:rsidRDefault="00F56E7D" w:rsidP="00166234">
      <w:pPr>
        <w:pStyle w:val="Subtitle"/>
        <w:spacing w:after="120"/>
      </w:pPr>
      <w:r>
        <w:t>What is a proforma invoice? And when do we use them?</w:t>
      </w:r>
    </w:p>
    <w:p w:rsidR="00F56E7D" w:rsidRDefault="00F56E7D" w:rsidP="00F56E7D">
      <w:r>
        <w:t>A proforma invoice is a ‘temporary’ invoice eBiz systems raise for prepay clients until AX is able to raise an invoice. This is so that a payment is linked to a unique invoice reference at payment stage. Only prepay clients for LON and ASA profit centres use proforma invoicing. JPN do not use proforma.</w:t>
      </w:r>
    </w:p>
    <w:p w:rsidR="00F56E7D" w:rsidRDefault="00F56E7D" w:rsidP="00F56E7D">
      <w:r>
        <w:t xml:space="preserve">Going forward, the business have stated that there is no business or financial auditing requirement to generate proforma invoices. The decision to keep proforma will be based on analysis of the volume of work required to applications </w:t>
      </w:r>
      <w:r w:rsidR="000E7286">
        <w:t>vs.</w:t>
      </w:r>
      <w:r>
        <w:t xml:space="preserve"> the benefit potentially derived (to be conducted).</w:t>
      </w:r>
    </w:p>
    <w:p w:rsidR="00F56E7D" w:rsidRDefault="00F56E7D" w:rsidP="00F56E7D"/>
    <w:p w:rsidR="00F56E7D" w:rsidRDefault="00F56E7D" w:rsidP="00166234">
      <w:pPr>
        <w:pStyle w:val="Subtitle"/>
        <w:spacing w:after="120"/>
      </w:pPr>
      <w:r w:rsidRPr="00313E57">
        <w:t>Is the process for Credit Notes the same as Sales Invoices?</w:t>
      </w:r>
    </w:p>
    <w:p w:rsidR="00F56E7D" w:rsidRDefault="00F56E7D" w:rsidP="00F56E7D">
      <w:r>
        <w:t>Yes. The same processes that raise an invoice also raise a credit note, eg, when an invoiced booking is cancelled.</w:t>
      </w:r>
    </w:p>
    <w:p w:rsidR="00F56E7D" w:rsidRDefault="00F56E7D" w:rsidP="00F56E7D"/>
    <w:p w:rsidR="00F56E7D" w:rsidRDefault="00F56E7D" w:rsidP="00166234">
      <w:pPr>
        <w:pStyle w:val="Subtitle"/>
        <w:spacing w:after="120"/>
      </w:pPr>
      <w:r>
        <w:t>How will invoices be raised in the post Swan world</w:t>
      </w:r>
      <w:r w:rsidRPr="00313E57">
        <w:t>?</w:t>
      </w:r>
    </w:p>
    <w:p w:rsidR="00F56E7D" w:rsidRDefault="00F56E7D" w:rsidP="00F56E7D">
      <w:r>
        <w:t>It is envisaged that eBiz will extract and push the data to AX staging in a mutually agreed format and location. eBiz will also pull any post invoice data required. Details to be discussed with the AX team.</w:t>
      </w:r>
    </w:p>
    <w:p w:rsidR="00F56E7D" w:rsidRDefault="00F56E7D" w:rsidP="00F56E7D">
      <w:r>
        <w:t>Data elements required thus far have been agreed with AX and can be found in the ‘AX’ tab on:</w:t>
      </w:r>
    </w:p>
    <w:p w:rsidR="00F56E7D" w:rsidRDefault="00F56E7D" w:rsidP="00F56E7D">
      <w:r w:rsidRPr="000D588A">
        <w:t>W:\eBusiness\Projects\TIP\Discovery workshop</w:t>
      </w:r>
      <w:r>
        <w:t>\</w:t>
      </w:r>
      <w:r w:rsidRPr="000D588A">
        <w:t>Miki Requirement</w:t>
      </w:r>
      <w:r>
        <w:t xml:space="preserve">s for OD Discovery Workshop v2 </w:t>
      </w:r>
    </w:p>
    <w:p w:rsidR="00A71972" w:rsidRDefault="00A71972" w:rsidP="00A71972"/>
    <w:p w:rsidR="00A71972" w:rsidRDefault="00A71972" w:rsidP="00A71972">
      <w:pPr>
        <w:pStyle w:val="Subtitle"/>
        <w:spacing w:after="120"/>
      </w:pPr>
      <w:r>
        <w:t>Technical details</w:t>
      </w:r>
    </w:p>
    <w:p w:rsidR="00F56E7D" w:rsidRDefault="00A71972" w:rsidP="00A71972">
      <w:r>
        <w:t>The</w:t>
      </w:r>
      <w:r w:rsidR="001E195E">
        <w:t xml:space="preserve"> data</w:t>
      </w:r>
      <w:r>
        <w:t xml:space="preserve"> extract primarily runs of the booking transaction tables. Vital in this is the correct calculation of the ‘Date to raise Invoice’</w:t>
      </w:r>
      <w:r w:rsidR="001E195E">
        <w:t xml:space="preserve"> on the booking tables</w:t>
      </w:r>
      <w:r>
        <w:t>.</w:t>
      </w:r>
    </w:p>
    <w:p w:rsidR="00A71972" w:rsidRDefault="00A71972" w:rsidP="00A71972">
      <w:pPr>
        <w:rPr>
          <w:rFonts w:cs="Arial"/>
          <w:b/>
          <w:bCs/>
          <w:iCs/>
          <w:sz w:val="28"/>
          <w:szCs w:val="28"/>
        </w:rPr>
      </w:pPr>
      <w:r>
        <w:t>For further technical info, please consult with Sudhakar (for the MSI processes) or Kevin, Mike &amp; AX team  (for the OSCAR / AX processes)</w:t>
      </w:r>
      <w:r w:rsidR="005F480F">
        <w:t>.</w:t>
      </w:r>
    </w:p>
    <w:p w:rsidR="00F56E7D" w:rsidRDefault="00F56E7D" w:rsidP="00F56E7D">
      <w:pPr>
        <w:pStyle w:val="Heading2"/>
        <w:spacing w:after="240"/>
      </w:pPr>
      <w:bookmarkStart w:id="30" w:name="_Toc408471430"/>
      <w:r>
        <w:lastRenderedPageBreak/>
        <w:t>Intra-company (IC) invoicing</w:t>
      </w:r>
      <w:bookmarkEnd w:id="30"/>
    </w:p>
    <w:p w:rsidR="00F56E7D" w:rsidRDefault="00F56E7D" w:rsidP="00BB6E6C">
      <w:pPr>
        <w:pStyle w:val="Subtitle"/>
        <w:spacing w:after="120"/>
      </w:pPr>
      <w:r>
        <w:t>What is a Intra-company sales invoice</w:t>
      </w:r>
    </w:p>
    <w:p w:rsidR="00F56E7D" w:rsidRDefault="00F56E7D" w:rsidP="00F56E7D">
      <w:pPr>
        <w:spacing w:after="240"/>
      </w:pPr>
      <w:r>
        <w:t>This is an internal (within the Miki group only) process by which each of the purchasing profit centres sell their product and subsequently bill the relevant sales profit centres per booking.</w:t>
      </w:r>
    </w:p>
    <w:p w:rsidR="00090336" w:rsidRDefault="00090336" w:rsidP="00090336">
      <w:r>
        <w:t>For example,</w:t>
      </w:r>
    </w:p>
    <w:p w:rsidR="00090336" w:rsidRDefault="00090336" w:rsidP="00F56E7D">
      <w:pPr>
        <w:spacing w:after="240"/>
      </w:pPr>
    </w:p>
    <w:p w:rsidR="009B4B57" w:rsidRDefault="00F56E7D" w:rsidP="009B4B57">
      <w:pPr>
        <w:pStyle w:val="Subtitle"/>
        <w:spacing w:after="120"/>
      </w:pPr>
      <w:r>
        <w:object w:dxaOrig="11078" w:dyaOrig="7998">
          <v:shape id="_x0000_i1026" type="#_x0000_t75" style="width:451.1pt;height:325.65pt" o:ole="">
            <v:imagedata r:id="rId11" o:title=""/>
          </v:shape>
          <o:OLEObject Type="Embed" ProgID="Visio.Drawing.11" ShapeID="_x0000_i1026" DrawAspect="Content" ObjectID="_1482583228" r:id="rId12"/>
        </w:object>
      </w:r>
    </w:p>
    <w:p w:rsidR="0038039B" w:rsidRPr="0038039B" w:rsidRDefault="0038039B" w:rsidP="0038039B">
      <w:pPr>
        <w:rPr>
          <w:i/>
        </w:rPr>
      </w:pPr>
      <w:r w:rsidRPr="0038039B">
        <w:rPr>
          <w:i/>
        </w:rPr>
        <w:t>Fig 2</w:t>
      </w:r>
      <w:r w:rsidR="00837E14">
        <w:rPr>
          <w:i/>
        </w:rPr>
        <w:t>: Intra-company invoice example</w:t>
      </w:r>
    </w:p>
    <w:p w:rsidR="00740023" w:rsidRDefault="00740023"/>
    <w:p w:rsidR="00090336" w:rsidRDefault="00740023">
      <w:pPr>
        <w:rPr>
          <w:rFonts w:asciiTheme="majorHAnsi" w:eastAsiaTheme="majorEastAsia" w:hAnsiTheme="majorHAnsi" w:cstheme="majorBidi"/>
          <w:i/>
          <w:iCs/>
          <w:color w:val="4F81BD" w:themeColor="accent1"/>
          <w:spacing w:val="15"/>
          <w:sz w:val="24"/>
        </w:rPr>
      </w:pPr>
      <w:r>
        <w:t>Here we can see that the Profit is going to one organisational entity (Japan), whilst the cost is being absorbed by another, ie  London. Intra company invoices address this, so that each organisation is make a profit on the booking.</w:t>
      </w:r>
      <w:r w:rsidR="00090336">
        <w:br w:type="page"/>
      </w:r>
    </w:p>
    <w:p w:rsidR="009B4B57" w:rsidRDefault="009B4B57" w:rsidP="009B4B57">
      <w:pPr>
        <w:pStyle w:val="Subtitle"/>
        <w:spacing w:after="120"/>
      </w:pPr>
      <w:r>
        <w:lastRenderedPageBreak/>
        <w:t>Process</w:t>
      </w:r>
    </w:p>
    <w:p w:rsidR="009B4B57" w:rsidRDefault="009B4B57" w:rsidP="009B4B57">
      <w:r>
        <w:t>A daily process executed on the OSCAR and AX staging systems raises the required IC invoices to the booking</w:t>
      </w:r>
      <w:r w:rsidR="00B11E41">
        <w:t>’</w:t>
      </w:r>
      <w:r>
        <w:t xml:space="preserve">s sales profit centre. </w:t>
      </w:r>
    </w:p>
    <w:p w:rsidR="009B4B57" w:rsidRDefault="009B4B57" w:rsidP="009B4B57"/>
    <w:p w:rsidR="009B4B57" w:rsidRDefault="009B4B57" w:rsidP="009B4B57"/>
    <w:p w:rsidR="009B4B57" w:rsidRDefault="009B4B57" w:rsidP="009B4B57">
      <w:r>
        <w:object w:dxaOrig="10860" w:dyaOrig="8191">
          <v:shape id="_x0000_i1027" type="#_x0000_t75" style="width:415.1pt;height:313.1pt" o:ole="">
            <v:imagedata r:id="rId13" o:title=""/>
          </v:shape>
          <o:OLEObject Type="Embed" ProgID="Visio.Drawing.11" ShapeID="_x0000_i1027" DrawAspect="Content" ObjectID="_1482583229" r:id="rId14"/>
        </w:object>
      </w:r>
    </w:p>
    <w:p w:rsidR="0038039B" w:rsidRDefault="0038039B" w:rsidP="0038039B"/>
    <w:p w:rsidR="0038039B" w:rsidRPr="0038039B" w:rsidRDefault="0038039B" w:rsidP="0038039B">
      <w:pPr>
        <w:rPr>
          <w:rStyle w:val="SubtitleChar"/>
          <w:i w:val="0"/>
        </w:rPr>
      </w:pPr>
      <w:r w:rsidRPr="0038039B">
        <w:rPr>
          <w:i/>
        </w:rPr>
        <w:t>Fig 3</w:t>
      </w:r>
      <w:r w:rsidR="00837E14">
        <w:rPr>
          <w:i/>
        </w:rPr>
        <w:t>: Intra-company invoice process</w:t>
      </w:r>
    </w:p>
    <w:p w:rsidR="0038039B" w:rsidRDefault="0038039B" w:rsidP="0038039B">
      <w:pPr>
        <w:rPr>
          <w:rStyle w:val="SubtitleChar"/>
        </w:rPr>
      </w:pPr>
    </w:p>
    <w:p w:rsidR="00F56E7D" w:rsidRDefault="00F56E7D" w:rsidP="00F56E7D">
      <w:pPr>
        <w:spacing w:after="120"/>
        <w:rPr>
          <w:rFonts w:asciiTheme="majorHAnsi" w:eastAsiaTheme="majorEastAsia" w:hAnsiTheme="majorHAnsi" w:cstheme="majorBidi"/>
          <w:i/>
          <w:iCs/>
          <w:color w:val="4F81BD" w:themeColor="accent1"/>
          <w:spacing w:val="15"/>
          <w:sz w:val="24"/>
        </w:rPr>
      </w:pPr>
      <w:r w:rsidRPr="0055649A">
        <w:rPr>
          <w:rStyle w:val="SubtitleChar"/>
        </w:rPr>
        <w:t xml:space="preserve">Why do we </w:t>
      </w:r>
      <w:r w:rsidR="00D02B13">
        <w:rPr>
          <w:rStyle w:val="SubtitleChar"/>
        </w:rPr>
        <w:t>raise</w:t>
      </w:r>
      <w:r w:rsidRPr="0055649A">
        <w:rPr>
          <w:rStyle w:val="SubtitleChar"/>
        </w:rPr>
        <w:t xml:space="preserve"> </w:t>
      </w:r>
      <w:r w:rsidR="00D53BAC">
        <w:rPr>
          <w:rStyle w:val="SubtitleChar"/>
        </w:rPr>
        <w:t>IC</w:t>
      </w:r>
      <w:r w:rsidRPr="0055649A">
        <w:rPr>
          <w:rStyle w:val="SubtitleChar"/>
        </w:rPr>
        <w:t xml:space="preserve"> invoic</w:t>
      </w:r>
      <w:r w:rsidR="00276616">
        <w:rPr>
          <w:rStyle w:val="SubtitleChar"/>
        </w:rPr>
        <w:t>es</w:t>
      </w:r>
      <w:r w:rsidRPr="0055649A">
        <w:rPr>
          <w:rStyle w:val="SubtitleChar"/>
        </w:rPr>
        <w:t>?</w:t>
      </w:r>
    </w:p>
    <w:p w:rsidR="00F56E7D" w:rsidRDefault="00F56E7D" w:rsidP="00F56E7D">
      <w:r>
        <w:t>Each profit centre within the Miki group operates as an autonomous entity. To address the imbalance in revenue</w:t>
      </w:r>
      <w:r w:rsidR="00785E0C">
        <w:t xml:space="preserve">, ie, </w:t>
      </w:r>
      <w:r>
        <w:t>one profit centre absorbing the cost and another gaining the proceeds of the sale (as per above diagram), each purchasing profit centre invoices the sales profit centre.</w:t>
      </w:r>
      <w:r w:rsidR="00230BC2">
        <w:t xml:space="preserve"> This invoice is referred to as an Intra-company invoice.</w:t>
      </w:r>
    </w:p>
    <w:p w:rsidR="00F56E7D" w:rsidRDefault="00F56E7D" w:rsidP="00F56E7D">
      <w:r>
        <w:t>This is entirely and internal process and does not impact the client or the supplier.</w:t>
      </w:r>
    </w:p>
    <w:p w:rsidR="00F56E7D" w:rsidRDefault="00F56E7D" w:rsidP="00F56E7D"/>
    <w:p w:rsidR="00F56E7D" w:rsidRDefault="00F56E7D" w:rsidP="00166234">
      <w:pPr>
        <w:pStyle w:val="Subtitle"/>
        <w:spacing w:after="120"/>
      </w:pPr>
      <w:r>
        <w:t>How are IC invoices generated?</w:t>
      </w:r>
    </w:p>
    <w:p w:rsidR="00F56E7D" w:rsidRDefault="00F56E7D" w:rsidP="00F56E7D">
      <w:pPr>
        <w:rPr>
          <w:rFonts w:asciiTheme="majorHAnsi" w:eastAsiaTheme="majorEastAsia" w:hAnsiTheme="majorHAnsi" w:cstheme="majorBidi"/>
          <w:i/>
          <w:iCs/>
          <w:color w:val="4F81BD" w:themeColor="accent1"/>
          <w:spacing w:val="15"/>
          <w:sz w:val="24"/>
        </w:rPr>
      </w:pPr>
      <w:r>
        <w:t>This is currently an OSCAR and AX staging scheduled process that run on a daily basis.</w:t>
      </w:r>
    </w:p>
    <w:p w:rsidR="00F56E7D" w:rsidRDefault="00F56E7D" w:rsidP="00F56E7D">
      <w:pPr>
        <w:rPr>
          <w:rFonts w:asciiTheme="majorHAnsi" w:eastAsiaTheme="majorEastAsia" w:hAnsiTheme="majorHAnsi" w:cstheme="majorBidi"/>
          <w:i/>
          <w:iCs/>
          <w:color w:val="4F81BD" w:themeColor="accent1"/>
          <w:spacing w:val="15"/>
          <w:sz w:val="24"/>
        </w:rPr>
      </w:pPr>
    </w:p>
    <w:p w:rsidR="0053214C" w:rsidRDefault="0053214C" w:rsidP="0053214C">
      <w:pPr>
        <w:pStyle w:val="Subtitle"/>
        <w:spacing w:after="120"/>
      </w:pPr>
      <w:r>
        <w:t xml:space="preserve">Where is the source of </w:t>
      </w:r>
      <w:r w:rsidR="007700A8">
        <w:t xml:space="preserve">IC </w:t>
      </w:r>
      <w:r>
        <w:t xml:space="preserve">invoicing details and figures? </w:t>
      </w:r>
    </w:p>
    <w:p w:rsidR="0053214C" w:rsidRDefault="0053214C" w:rsidP="0053214C">
      <w:r>
        <w:t>At present, all invoicing figures for Miki contracted product bookings is retrieved from OSCAR tables.</w:t>
      </w:r>
    </w:p>
    <w:p w:rsidR="0053214C" w:rsidRDefault="0053214C" w:rsidP="0053214C">
      <w:r>
        <w:t>For 3</w:t>
      </w:r>
      <w:r w:rsidRPr="009F3C32">
        <w:rPr>
          <w:vertAlign w:val="superscript"/>
        </w:rPr>
        <w:t>rd</w:t>
      </w:r>
      <w:r>
        <w:t xml:space="preserve"> party contracted products, the source is the eBiz bookings database.</w:t>
      </w:r>
    </w:p>
    <w:p w:rsidR="0053214C" w:rsidRDefault="0053214C" w:rsidP="0053214C"/>
    <w:p w:rsidR="00F56E7D" w:rsidRDefault="00F56E7D" w:rsidP="00166234">
      <w:pPr>
        <w:pStyle w:val="Subtitle"/>
        <w:spacing w:after="120"/>
      </w:pPr>
      <w:r w:rsidRPr="005475A6">
        <w:t>What booking processes trigger a</w:t>
      </w:r>
      <w:r w:rsidR="004855AB">
        <w:t>n IC</w:t>
      </w:r>
      <w:r w:rsidRPr="005475A6">
        <w:t xml:space="preserve"> Invoice to be generated?</w:t>
      </w:r>
    </w:p>
    <w:p w:rsidR="00F56E7D" w:rsidRDefault="00F56E7D" w:rsidP="00F56E7D">
      <w:r>
        <w:t>An IC invoice is raised after the booking is locked (a fixed number of days after the last service</w:t>
      </w:r>
      <w:r w:rsidR="00ED129D">
        <w:t xml:space="preserve"> date</w:t>
      </w:r>
      <w:r>
        <w:t>)</w:t>
      </w:r>
      <w:r w:rsidR="009D0617">
        <w:t>.</w:t>
      </w:r>
    </w:p>
    <w:p w:rsidR="00166234" w:rsidRDefault="00166234" w:rsidP="00F56E7D"/>
    <w:p w:rsidR="00C62C06" w:rsidRDefault="0012214F" w:rsidP="00C62C06">
      <w:pPr>
        <w:pStyle w:val="Subtitle"/>
        <w:spacing w:after="120"/>
      </w:pPr>
      <w:r>
        <w:t>How much should be invoiced in an IC invoice</w:t>
      </w:r>
      <w:r w:rsidR="00C62C06" w:rsidRPr="00313E57">
        <w:t>?</w:t>
      </w:r>
    </w:p>
    <w:p w:rsidR="00A91FEA" w:rsidRDefault="00C62C06" w:rsidP="00C62C06">
      <w:r>
        <w:t xml:space="preserve">The purchasing profit centre will invoice the sales profit centre for the </w:t>
      </w:r>
      <w:r w:rsidR="0012214F">
        <w:t xml:space="preserve">product </w:t>
      </w:r>
      <w:r>
        <w:t>cost + percentage. The percentage is based on a set of business rules</w:t>
      </w:r>
      <w:r w:rsidRPr="00B878F6">
        <w:rPr>
          <w:color w:val="FF0000"/>
          <w:vertAlign w:val="superscript"/>
        </w:rPr>
        <w:t>2</w:t>
      </w:r>
      <w:r>
        <w:t>, with the default being 5%.</w:t>
      </w:r>
      <w:r w:rsidR="005D6F01">
        <w:t xml:space="preserve"> </w:t>
      </w:r>
    </w:p>
    <w:p w:rsidR="00C62C06" w:rsidRDefault="005D6F01" w:rsidP="00C62C06">
      <w:r>
        <w:t xml:space="preserve">These rules are </w:t>
      </w:r>
      <w:r w:rsidR="00A91FEA">
        <w:t>mostly</w:t>
      </w:r>
      <w:r>
        <w:t xml:space="preserve"> catered for in the current eBiz system.</w:t>
      </w:r>
    </w:p>
    <w:p w:rsidR="00C62C06" w:rsidRPr="00A129DB" w:rsidRDefault="00C62C06" w:rsidP="00C62C06">
      <w:pPr>
        <w:pStyle w:val="Subtitle"/>
        <w:spacing w:after="0"/>
        <w:rPr>
          <w:sz w:val="20"/>
          <w:szCs w:val="20"/>
        </w:rPr>
      </w:pPr>
    </w:p>
    <w:p w:rsidR="00F56E7D" w:rsidRDefault="00F56E7D" w:rsidP="00166234">
      <w:pPr>
        <w:pStyle w:val="Subtitle"/>
        <w:spacing w:after="120"/>
      </w:pPr>
      <w:r>
        <w:t>When is a manual IC invoice raised for eBiz bookings?</w:t>
      </w:r>
    </w:p>
    <w:p w:rsidR="00F56E7D" w:rsidRDefault="00F56E7D" w:rsidP="00F56E7D">
      <w:r>
        <w:t xml:space="preserve">Whenever authorised cost related changes are made to a booking after it is locked, manual IC invoices / credit notes are raised </w:t>
      </w:r>
      <w:r w:rsidR="002273AE">
        <w:t xml:space="preserve">manually </w:t>
      </w:r>
      <w:r>
        <w:t>via an OSCAR / AX staging application.</w:t>
      </w:r>
    </w:p>
    <w:p w:rsidR="00F56E7D" w:rsidRDefault="00F56E7D" w:rsidP="00F56E7D"/>
    <w:p w:rsidR="00F56E7D" w:rsidRDefault="00F56E7D" w:rsidP="00166234">
      <w:pPr>
        <w:pStyle w:val="Subtitle"/>
        <w:spacing w:after="120"/>
      </w:pPr>
      <w:r>
        <w:t>How will IC invoices be raised in the post Swan world</w:t>
      </w:r>
      <w:r w:rsidRPr="00313E57">
        <w:t>?</w:t>
      </w:r>
    </w:p>
    <w:p w:rsidR="00C70812" w:rsidRDefault="00F56E7D" w:rsidP="00F56E7D">
      <w:r>
        <w:t xml:space="preserve">It is envisaged that eBiz will extract </w:t>
      </w:r>
      <w:r w:rsidR="005662B3">
        <w:t xml:space="preserve">the required transactions </w:t>
      </w:r>
      <w:r>
        <w:t xml:space="preserve">and push the data to AX staging in a mutually agreed format and location. eBiz will also pull any post invoice data required. </w:t>
      </w:r>
    </w:p>
    <w:p w:rsidR="00F56E7D" w:rsidRDefault="00C70812" w:rsidP="00F56E7D">
      <w:r>
        <w:t xml:space="preserve">It is expected that the data-set required for IC invoicing will be a reduced subset of those required for Sales Invoicing.  </w:t>
      </w:r>
      <w:r w:rsidR="00F56E7D">
        <w:t>Details</w:t>
      </w:r>
      <w:r w:rsidR="00347129">
        <w:t xml:space="preserve"> need</w:t>
      </w:r>
      <w:r w:rsidR="00F56E7D">
        <w:t xml:space="preserve"> to be discussed </w:t>
      </w:r>
      <w:r w:rsidR="005662B3">
        <w:t xml:space="preserve">and agreed </w:t>
      </w:r>
      <w:r w:rsidR="00F56E7D">
        <w:t>with the AX team.</w:t>
      </w:r>
    </w:p>
    <w:p w:rsidR="00F56E7D" w:rsidRDefault="00F56E7D" w:rsidP="00F56E7D">
      <w:pPr>
        <w:pStyle w:val="Footer"/>
        <w:rPr>
          <w:color w:val="FF0000"/>
          <w:vertAlign w:val="superscript"/>
        </w:rPr>
      </w:pPr>
    </w:p>
    <w:p w:rsidR="00000B70" w:rsidRDefault="00000B70" w:rsidP="00000B70">
      <w:pPr>
        <w:pStyle w:val="Subtitle"/>
        <w:spacing w:after="120"/>
      </w:pPr>
      <w:r>
        <w:t>Technical details</w:t>
      </w:r>
    </w:p>
    <w:p w:rsidR="00000B70" w:rsidRDefault="00000B70" w:rsidP="00000B70">
      <w:r>
        <w:t xml:space="preserve">The extract primarily runs off both the OSCAR and eBiz booking transaction tables. </w:t>
      </w:r>
    </w:p>
    <w:p w:rsidR="00000B70" w:rsidRDefault="00000B70" w:rsidP="00000B70">
      <w:pPr>
        <w:rPr>
          <w:rFonts w:cs="Arial"/>
          <w:b/>
          <w:bCs/>
          <w:iCs/>
          <w:sz w:val="28"/>
          <w:szCs w:val="28"/>
        </w:rPr>
      </w:pPr>
      <w:r>
        <w:t>For further technical info, please consult with Mike &amp; AX team  (for the OSCAR / AX processes)</w:t>
      </w:r>
      <w:r w:rsidR="009D0617">
        <w:t xml:space="preserve">. </w:t>
      </w:r>
    </w:p>
    <w:p w:rsidR="00F56E7D" w:rsidRDefault="00F56E7D" w:rsidP="00F56E7D">
      <w:pPr>
        <w:pStyle w:val="Footer"/>
        <w:rPr>
          <w:color w:val="FF0000"/>
          <w:vertAlign w:val="superscript"/>
        </w:rPr>
      </w:pPr>
    </w:p>
    <w:p w:rsidR="00F56E7D" w:rsidRDefault="00F56E7D" w:rsidP="00F56E7D">
      <w:pPr>
        <w:pStyle w:val="Footer"/>
        <w:rPr>
          <w:color w:val="FF0000"/>
          <w:vertAlign w:val="superscript"/>
        </w:rPr>
      </w:pPr>
    </w:p>
    <w:p w:rsidR="00F56E7D" w:rsidRDefault="00F56E7D" w:rsidP="00F56E7D">
      <w:pPr>
        <w:pStyle w:val="Footer"/>
        <w:rPr>
          <w:color w:val="FF0000"/>
          <w:vertAlign w:val="superscript"/>
        </w:rPr>
      </w:pPr>
    </w:p>
    <w:p w:rsidR="00F56E7D" w:rsidRDefault="00F56E7D" w:rsidP="00F56E7D">
      <w:pPr>
        <w:pStyle w:val="Footer"/>
        <w:rPr>
          <w:color w:val="FF0000"/>
          <w:vertAlign w:val="superscript"/>
        </w:rPr>
      </w:pPr>
    </w:p>
    <w:p w:rsidR="00F56E7D" w:rsidRDefault="00F56E7D" w:rsidP="00F56E7D">
      <w:pPr>
        <w:pStyle w:val="Footer"/>
        <w:rPr>
          <w:color w:val="FF0000"/>
          <w:vertAlign w:val="superscript"/>
        </w:rPr>
      </w:pPr>
    </w:p>
    <w:p w:rsidR="00F56E7D" w:rsidRDefault="00F56E7D" w:rsidP="00F56E7D">
      <w:pPr>
        <w:pStyle w:val="Footer"/>
        <w:rPr>
          <w:color w:val="FF0000"/>
          <w:vertAlign w:val="superscript"/>
        </w:rPr>
      </w:pPr>
    </w:p>
    <w:p w:rsidR="00F56E7D" w:rsidRDefault="00F56E7D" w:rsidP="00F56E7D">
      <w:pPr>
        <w:pStyle w:val="Footer"/>
        <w:rPr>
          <w:color w:val="FF0000"/>
          <w:vertAlign w:val="superscript"/>
        </w:rPr>
      </w:pPr>
    </w:p>
    <w:p w:rsidR="00F56E7D" w:rsidRDefault="00F56E7D" w:rsidP="00F56E7D">
      <w:pPr>
        <w:pStyle w:val="Footer"/>
        <w:rPr>
          <w:color w:val="FF0000"/>
          <w:vertAlign w:val="superscript"/>
        </w:rPr>
      </w:pPr>
    </w:p>
    <w:p w:rsidR="00F56E7D" w:rsidRDefault="00F56E7D" w:rsidP="00F56E7D">
      <w:pPr>
        <w:pStyle w:val="Footer"/>
        <w:rPr>
          <w:color w:val="FF0000"/>
          <w:vertAlign w:val="superscript"/>
        </w:rPr>
      </w:pPr>
    </w:p>
    <w:p w:rsidR="00F56E7D" w:rsidRDefault="00F56E7D" w:rsidP="00F56E7D">
      <w:pPr>
        <w:pStyle w:val="Footer"/>
        <w:rPr>
          <w:color w:val="FF0000"/>
          <w:vertAlign w:val="superscript"/>
        </w:rPr>
      </w:pPr>
    </w:p>
    <w:p w:rsidR="00F56E7D" w:rsidRDefault="00F56E7D" w:rsidP="00F56E7D">
      <w:pPr>
        <w:pStyle w:val="Footer"/>
        <w:rPr>
          <w:color w:val="FF0000"/>
          <w:vertAlign w:val="superscript"/>
        </w:rPr>
      </w:pPr>
    </w:p>
    <w:p w:rsidR="00F56E7D" w:rsidRDefault="00F56E7D" w:rsidP="00F56E7D">
      <w:pPr>
        <w:pStyle w:val="Footer"/>
        <w:rPr>
          <w:color w:val="FF0000"/>
          <w:vertAlign w:val="superscript"/>
        </w:rPr>
      </w:pPr>
    </w:p>
    <w:p w:rsidR="00F56E7D" w:rsidRDefault="00F56E7D" w:rsidP="00F56E7D">
      <w:pPr>
        <w:pStyle w:val="Footer"/>
        <w:rPr>
          <w:color w:val="FF0000"/>
          <w:vertAlign w:val="superscript"/>
        </w:rPr>
      </w:pPr>
    </w:p>
    <w:p w:rsidR="00F56E7D" w:rsidRDefault="00F56E7D" w:rsidP="00F56E7D">
      <w:pPr>
        <w:pStyle w:val="Footer"/>
        <w:rPr>
          <w:color w:val="FF0000"/>
          <w:vertAlign w:val="superscript"/>
        </w:rPr>
      </w:pPr>
    </w:p>
    <w:p w:rsidR="00F56E7D" w:rsidRDefault="00F56E7D" w:rsidP="00F56E7D">
      <w:pPr>
        <w:pStyle w:val="Footer"/>
        <w:rPr>
          <w:color w:val="FF0000"/>
          <w:vertAlign w:val="superscript"/>
        </w:rPr>
      </w:pPr>
    </w:p>
    <w:p w:rsidR="00F56E7D" w:rsidRDefault="00F56E7D" w:rsidP="00F56E7D">
      <w:pPr>
        <w:pStyle w:val="Footer"/>
        <w:rPr>
          <w:color w:val="FF0000"/>
          <w:vertAlign w:val="superscript"/>
        </w:rPr>
      </w:pPr>
    </w:p>
    <w:p w:rsidR="00F56E7D" w:rsidRDefault="00F56E7D" w:rsidP="00F56E7D">
      <w:pPr>
        <w:pStyle w:val="Footer"/>
        <w:rPr>
          <w:color w:val="FF0000"/>
          <w:vertAlign w:val="superscript"/>
        </w:rPr>
      </w:pPr>
    </w:p>
    <w:p w:rsidR="00F56E7D" w:rsidRDefault="00F56E7D" w:rsidP="00F56E7D">
      <w:pPr>
        <w:pStyle w:val="Footer"/>
        <w:rPr>
          <w:color w:val="FF0000"/>
          <w:vertAlign w:val="superscript"/>
        </w:rPr>
      </w:pPr>
    </w:p>
    <w:p w:rsidR="00F56E7D" w:rsidRDefault="00F56E7D" w:rsidP="00F56E7D">
      <w:pPr>
        <w:pStyle w:val="Footer"/>
        <w:rPr>
          <w:color w:val="FF0000"/>
          <w:vertAlign w:val="superscript"/>
        </w:rPr>
      </w:pPr>
    </w:p>
    <w:p w:rsidR="00F56E7D" w:rsidRDefault="00F56E7D" w:rsidP="00F56E7D">
      <w:pPr>
        <w:pStyle w:val="Footer"/>
        <w:rPr>
          <w:color w:val="FF0000"/>
          <w:vertAlign w:val="superscript"/>
        </w:rPr>
      </w:pPr>
    </w:p>
    <w:p w:rsidR="00F56E7D" w:rsidRDefault="00F56E7D" w:rsidP="00F56E7D">
      <w:pPr>
        <w:pStyle w:val="Footer"/>
        <w:rPr>
          <w:color w:val="FF0000"/>
          <w:vertAlign w:val="superscript"/>
        </w:rPr>
      </w:pPr>
    </w:p>
    <w:p w:rsidR="00F56E7D" w:rsidRDefault="00F56E7D" w:rsidP="00F56E7D">
      <w:pPr>
        <w:pStyle w:val="Footer"/>
        <w:rPr>
          <w:color w:val="FF0000"/>
          <w:vertAlign w:val="superscript"/>
        </w:rPr>
      </w:pPr>
    </w:p>
    <w:p w:rsidR="00F56E7D" w:rsidRDefault="00F56E7D" w:rsidP="00F56E7D">
      <w:pPr>
        <w:pStyle w:val="Footer"/>
        <w:rPr>
          <w:color w:val="FF0000"/>
          <w:vertAlign w:val="superscript"/>
        </w:rPr>
      </w:pPr>
    </w:p>
    <w:p w:rsidR="007279BC" w:rsidRDefault="007279BC" w:rsidP="00F56E7D">
      <w:pPr>
        <w:pStyle w:val="Footer"/>
        <w:rPr>
          <w:color w:val="FF0000"/>
          <w:vertAlign w:val="superscript"/>
        </w:rPr>
      </w:pPr>
    </w:p>
    <w:p w:rsidR="00410A69" w:rsidRDefault="00410A69" w:rsidP="00F56E7D">
      <w:pPr>
        <w:pStyle w:val="Footer"/>
        <w:rPr>
          <w:color w:val="FF0000"/>
          <w:vertAlign w:val="superscript"/>
        </w:rPr>
      </w:pPr>
    </w:p>
    <w:p w:rsidR="00410A69" w:rsidRDefault="00410A69" w:rsidP="00F56E7D">
      <w:pPr>
        <w:pStyle w:val="Footer"/>
        <w:rPr>
          <w:color w:val="FF0000"/>
          <w:vertAlign w:val="superscript"/>
        </w:rPr>
      </w:pPr>
    </w:p>
    <w:p w:rsidR="00410A69" w:rsidRDefault="00410A69" w:rsidP="00F56E7D">
      <w:pPr>
        <w:pStyle w:val="Footer"/>
        <w:rPr>
          <w:color w:val="FF0000"/>
          <w:vertAlign w:val="superscript"/>
        </w:rPr>
      </w:pPr>
    </w:p>
    <w:p w:rsidR="00410A69" w:rsidRDefault="00410A69" w:rsidP="00F56E7D">
      <w:pPr>
        <w:pStyle w:val="Footer"/>
        <w:rPr>
          <w:color w:val="FF0000"/>
          <w:vertAlign w:val="superscript"/>
        </w:rPr>
      </w:pPr>
    </w:p>
    <w:p w:rsidR="00410A69" w:rsidRDefault="00410A69" w:rsidP="00F56E7D">
      <w:pPr>
        <w:pStyle w:val="Footer"/>
        <w:rPr>
          <w:color w:val="FF0000"/>
          <w:vertAlign w:val="superscript"/>
        </w:rPr>
      </w:pPr>
    </w:p>
    <w:p w:rsidR="007279BC" w:rsidRDefault="007279BC" w:rsidP="00F56E7D">
      <w:pPr>
        <w:pStyle w:val="Footer"/>
        <w:rPr>
          <w:color w:val="FF0000"/>
          <w:vertAlign w:val="superscript"/>
        </w:rPr>
      </w:pPr>
    </w:p>
    <w:p w:rsidR="00F56E7D" w:rsidRDefault="00F56E7D" w:rsidP="00F56E7D">
      <w:pPr>
        <w:pStyle w:val="Footer"/>
        <w:rPr>
          <w:color w:val="FF0000"/>
          <w:vertAlign w:val="superscript"/>
        </w:rPr>
      </w:pPr>
    </w:p>
    <w:p w:rsidR="0009354C" w:rsidRDefault="00F56E7D" w:rsidP="00F56E7D">
      <w:pPr>
        <w:pStyle w:val="Footer"/>
      </w:pPr>
      <w:r w:rsidRPr="00B878F6">
        <w:rPr>
          <w:color w:val="FF0000"/>
          <w:vertAlign w:val="superscript"/>
        </w:rPr>
        <w:t>2</w:t>
      </w:r>
      <w:r>
        <w:t>See- W</w:t>
      </w:r>
      <w:r w:rsidRPr="00B878F6">
        <w:t>:\eBusiness\Projects\TIP\Discovery workshop</w:t>
      </w:r>
      <w:r>
        <w:t>\</w:t>
      </w:r>
      <w:r w:rsidRPr="00B878F6">
        <w:t xml:space="preserve"> </w:t>
      </w:r>
      <w:r w:rsidRPr="000D588A">
        <w:t>Miki Requirement</w:t>
      </w:r>
      <w:r>
        <w:t>s for OD Discovery Workshop v2 (Intra company Invoicing worksheet)</w:t>
      </w:r>
    </w:p>
    <w:sectPr w:rsidR="0009354C" w:rsidSect="00F134E2">
      <w:headerReference w:type="default" r:id="rId15"/>
      <w:footerReference w:type="default" r:id="rId16"/>
      <w:pgSz w:w="11906" w:h="16838"/>
      <w:pgMar w:top="1474" w:right="1800" w:bottom="198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CE9" w:rsidRDefault="00223CE9">
      <w:r>
        <w:separator/>
      </w:r>
    </w:p>
  </w:endnote>
  <w:endnote w:type="continuationSeparator" w:id="0">
    <w:p w:rsidR="00223CE9" w:rsidRDefault="00223C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292" w:type="dxa"/>
      <w:tblLayout w:type="fixed"/>
      <w:tblLook w:val="0000"/>
    </w:tblPr>
    <w:tblGrid>
      <w:gridCol w:w="2324"/>
      <w:gridCol w:w="2324"/>
      <w:gridCol w:w="3644"/>
    </w:tblGrid>
    <w:tr w:rsidR="00840D44">
      <w:trPr>
        <w:cantSplit/>
      </w:trPr>
      <w:tc>
        <w:tcPr>
          <w:tcW w:w="8292" w:type="dxa"/>
          <w:gridSpan w:val="3"/>
        </w:tcPr>
        <w:p w:rsidR="00840D44" w:rsidRDefault="00840D44">
          <w:pPr>
            <w:pStyle w:val="Footer"/>
            <w:rPr>
              <w:rFonts w:cs="Arial"/>
              <w:color w:val="666699"/>
              <w:lang w:val="en-US"/>
            </w:rPr>
          </w:pP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r>
            <w:rPr>
              <w:rFonts w:cs="Arial"/>
              <w:color w:val="666699"/>
            </w:rPr>
            <w:sym w:font="Symbol" w:char="00BE"/>
          </w:r>
        </w:p>
      </w:tc>
    </w:tr>
    <w:tr w:rsidR="00840D44">
      <w:tc>
        <w:tcPr>
          <w:tcW w:w="2324" w:type="dxa"/>
        </w:tcPr>
        <w:p w:rsidR="00840D44" w:rsidRDefault="00840D44">
          <w:pPr>
            <w:pStyle w:val="Footer"/>
            <w:jc w:val="center"/>
            <w:rPr>
              <w:color w:val="666699"/>
              <w:lang w:val="en-US"/>
            </w:rPr>
          </w:pPr>
        </w:p>
      </w:tc>
      <w:tc>
        <w:tcPr>
          <w:tcW w:w="2324" w:type="dxa"/>
        </w:tcPr>
        <w:p w:rsidR="00840D44" w:rsidRDefault="00840D44">
          <w:pPr>
            <w:pStyle w:val="Footer"/>
            <w:jc w:val="center"/>
            <w:rPr>
              <w:color w:val="666699"/>
              <w:lang w:val="en-US"/>
            </w:rPr>
          </w:pPr>
        </w:p>
      </w:tc>
      <w:tc>
        <w:tcPr>
          <w:tcW w:w="3644" w:type="dxa"/>
        </w:tcPr>
        <w:p w:rsidR="00840D44" w:rsidRDefault="00840D44">
          <w:pPr>
            <w:pStyle w:val="Footer"/>
            <w:jc w:val="right"/>
            <w:rPr>
              <w:color w:val="666699"/>
              <w:lang w:val="en-US"/>
            </w:rPr>
          </w:pPr>
        </w:p>
      </w:tc>
    </w:tr>
  </w:tbl>
  <w:p w:rsidR="00840D44" w:rsidRDefault="00840D4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6498927"/>
      <w:docPartObj>
        <w:docPartGallery w:val="Page Numbers (Bottom of Page)"/>
        <w:docPartUnique/>
      </w:docPartObj>
    </w:sdtPr>
    <w:sdtContent>
      <w:sdt>
        <w:sdtPr>
          <w:id w:val="565050523"/>
          <w:docPartObj>
            <w:docPartGallery w:val="Page Numbers (Top of Page)"/>
            <w:docPartUnique/>
          </w:docPartObj>
        </w:sdtPr>
        <w:sdtContent>
          <w:p w:rsidR="00F56E7D" w:rsidRDefault="00F56E7D">
            <w:pPr>
              <w:pStyle w:val="Footer"/>
              <w:jc w:val="right"/>
            </w:pPr>
            <w:r>
              <w:t xml:space="preserve">Page </w:t>
            </w:r>
            <w:r w:rsidR="00797F2E">
              <w:rPr>
                <w:b/>
                <w:sz w:val="24"/>
              </w:rPr>
              <w:fldChar w:fldCharType="begin"/>
            </w:r>
            <w:r>
              <w:rPr>
                <w:b/>
              </w:rPr>
              <w:instrText xml:space="preserve"> PAGE </w:instrText>
            </w:r>
            <w:r w:rsidR="00797F2E">
              <w:rPr>
                <w:b/>
                <w:sz w:val="24"/>
              </w:rPr>
              <w:fldChar w:fldCharType="separate"/>
            </w:r>
            <w:r w:rsidR="00A91FEA">
              <w:rPr>
                <w:b/>
                <w:noProof/>
              </w:rPr>
              <w:t>8</w:t>
            </w:r>
            <w:r w:rsidR="00797F2E">
              <w:rPr>
                <w:b/>
                <w:sz w:val="24"/>
              </w:rPr>
              <w:fldChar w:fldCharType="end"/>
            </w:r>
            <w:r>
              <w:t xml:space="preserve"> of </w:t>
            </w:r>
            <w:r w:rsidR="00797F2E">
              <w:rPr>
                <w:b/>
                <w:sz w:val="24"/>
              </w:rPr>
              <w:fldChar w:fldCharType="begin"/>
            </w:r>
            <w:r>
              <w:rPr>
                <w:b/>
              </w:rPr>
              <w:instrText xml:space="preserve"> NUMPAGES  </w:instrText>
            </w:r>
            <w:r w:rsidR="00797F2E">
              <w:rPr>
                <w:b/>
                <w:sz w:val="24"/>
              </w:rPr>
              <w:fldChar w:fldCharType="separate"/>
            </w:r>
            <w:r w:rsidR="00A91FEA">
              <w:rPr>
                <w:b/>
                <w:noProof/>
              </w:rPr>
              <w:t>8</w:t>
            </w:r>
            <w:r w:rsidR="00797F2E">
              <w:rPr>
                <w:b/>
                <w:sz w:val="24"/>
              </w:rPr>
              <w:fldChar w:fldCharType="end"/>
            </w:r>
          </w:p>
        </w:sdtContent>
      </w:sdt>
    </w:sdtContent>
  </w:sdt>
  <w:p w:rsidR="00840D44" w:rsidRDefault="00840D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CE9" w:rsidRDefault="00223CE9">
      <w:r>
        <w:separator/>
      </w:r>
    </w:p>
  </w:footnote>
  <w:footnote w:type="continuationSeparator" w:id="0">
    <w:p w:rsidR="00223CE9" w:rsidRDefault="00223C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D44" w:rsidRDefault="00840D44">
    <w:pPr>
      <w:jc w:val="both"/>
      <w:rPr>
        <w:rFonts w:ascii="Arial" w:hAnsi="Arial"/>
      </w:rPr>
    </w:pPr>
    <w:r>
      <w:rPr>
        <w:rFonts w:cs="Arial"/>
        <w:noProof/>
        <w:lang w:eastAsia="en-GB"/>
      </w:rPr>
      <w:drawing>
        <wp:anchor distT="0" distB="0" distL="114300" distR="114300" simplePos="0" relativeHeight="251657728" behindDoc="0" locked="0" layoutInCell="1" allowOverlap="1">
          <wp:simplePos x="0" y="0"/>
          <wp:positionH relativeFrom="column">
            <wp:posOffset>4495800</wp:posOffset>
          </wp:positionH>
          <wp:positionV relativeFrom="paragraph">
            <wp:posOffset>88900</wp:posOffset>
          </wp:positionV>
          <wp:extent cx="762000" cy="762000"/>
          <wp:effectExtent l="19050" t="0" r="0" b="0"/>
          <wp:wrapNone/>
          <wp:docPr id="1" name="Picture 1"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olor"/>
                  <pic:cNvPicPr>
                    <a:picLocks noChangeAspect="1" noChangeArrowheads="1"/>
                  </pic:cNvPicPr>
                </pic:nvPicPr>
                <pic:blipFill>
                  <a:blip r:embed="rId1"/>
                  <a:srcRect/>
                  <a:stretch>
                    <a:fillRect/>
                  </a:stretch>
                </pic:blipFill>
                <pic:spPr bwMode="auto">
                  <a:xfrm>
                    <a:off x="0" y="0"/>
                    <a:ext cx="762000" cy="762000"/>
                  </a:xfrm>
                  <a:prstGeom prst="rect">
                    <a:avLst/>
                  </a:prstGeom>
                  <a:noFill/>
                </pic:spPr>
              </pic:pic>
            </a:graphicData>
          </a:graphic>
        </wp:anchor>
      </w:drawing>
    </w:r>
  </w:p>
  <w:p w:rsidR="00840D44" w:rsidRDefault="00840D44">
    <w:pPr>
      <w:jc w:val="both"/>
      <w:rPr>
        <w:rFonts w:ascii="Arial" w:hAnsi="Arial"/>
        <w:b/>
        <w:bCs/>
        <w:color w:val="666699"/>
        <w:sz w:val="36"/>
      </w:rPr>
    </w:pPr>
    <w:r>
      <w:rPr>
        <w:b/>
        <w:bCs/>
        <w:color w:val="666699"/>
        <w:sz w:val="36"/>
      </w:rPr>
      <w:t>MIKI TRAVEL LIMITED</w:t>
    </w:r>
  </w:p>
  <w:p w:rsidR="00840D44" w:rsidRDefault="00840D44">
    <w:pPr>
      <w:jc w:val="both"/>
      <w:rPr>
        <w:rFonts w:ascii="Arial" w:hAnsi="Arial"/>
        <w:color w:val="666699"/>
      </w:rPr>
    </w:pP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sym w:font="Symbol" w:char="00BE"/>
    </w:r>
    <w:r>
      <w:rPr>
        <w:color w:val="666699"/>
      </w:rPr>
      <w:br/>
      <w:t>Vintners’ Place, 68 Upper Thames Street, London EC4V 3BJ</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00"/>
    </w:tblPr>
    <w:tblGrid>
      <w:gridCol w:w="5328"/>
      <w:gridCol w:w="3194"/>
    </w:tblGrid>
    <w:tr w:rsidR="00840D44">
      <w:trPr>
        <w:cantSplit/>
      </w:trPr>
      <w:tc>
        <w:tcPr>
          <w:tcW w:w="5328" w:type="dxa"/>
        </w:tcPr>
        <w:p w:rsidR="00840D44" w:rsidRDefault="00F56E7D" w:rsidP="00F56E7D">
          <w:pPr>
            <w:rPr>
              <w:sz w:val="32"/>
            </w:rPr>
          </w:pPr>
          <w:r>
            <w:rPr>
              <w:sz w:val="32"/>
            </w:rPr>
            <w:t xml:space="preserve">Sales and Intra-company invoicing </w:t>
          </w:r>
        </w:p>
      </w:tc>
      <w:tc>
        <w:tcPr>
          <w:tcW w:w="3194" w:type="dxa"/>
        </w:tcPr>
        <w:p w:rsidR="00840D44" w:rsidRDefault="00797F2E">
          <w:pPr>
            <w:jc w:val="right"/>
          </w:pPr>
          <w:fldSimple w:instr=" DOCPROPERTY &quot;Department&quot;  \* MERGEFORMAT ">
            <w:r w:rsidR="00840D44">
              <w:t>eBusiness</w:t>
            </w:r>
          </w:fldSimple>
        </w:p>
        <w:p w:rsidR="00840D44" w:rsidRDefault="00797F2E">
          <w:pPr>
            <w:jc w:val="right"/>
          </w:pPr>
          <w:fldSimple w:instr=" DOCPROPERTY &quot;Company&quot;  \* MERGEFORMAT ">
            <w:r w:rsidR="00840D44" w:rsidRPr="00C7031A">
              <w:rPr>
                <w:sz w:val="16"/>
              </w:rPr>
              <w:t>Miki Travel Limited</w:t>
            </w:r>
          </w:fldSimple>
        </w:p>
      </w:tc>
    </w:tr>
    <w:tr w:rsidR="00840D44">
      <w:trPr>
        <w:cantSplit/>
      </w:trPr>
      <w:tc>
        <w:tcPr>
          <w:tcW w:w="5328" w:type="dxa"/>
          <w:tcBorders>
            <w:bottom w:val="single" w:sz="4" w:space="0" w:color="auto"/>
          </w:tcBorders>
        </w:tcPr>
        <w:p w:rsidR="00840D44" w:rsidRDefault="00F56E7D" w:rsidP="00F56E7D">
          <w:pPr>
            <w:pStyle w:val="Header"/>
          </w:pPr>
          <w:r>
            <w:t>Handover notes</w:t>
          </w:r>
        </w:p>
      </w:tc>
      <w:tc>
        <w:tcPr>
          <w:tcW w:w="3194" w:type="dxa"/>
          <w:tcBorders>
            <w:bottom w:val="single" w:sz="4" w:space="0" w:color="auto"/>
          </w:tcBorders>
        </w:tcPr>
        <w:p w:rsidR="00840D44" w:rsidRDefault="00840D44">
          <w:pPr>
            <w:jc w:val="right"/>
            <w:rPr>
              <w:sz w:val="16"/>
            </w:rPr>
          </w:pPr>
        </w:p>
        <w:p w:rsidR="00840D44" w:rsidRDefault="00797F2E" w:rsidP="00F56E7D">
          <w:pPr>
            <w:jc w:val="right"/>
            <w:rPr>
              <w:sz w:val="16"/>
            </w:rPr>
          </w:pPr>
          <w:fldSimple w:instr=" AUTHOR  \* MERGEFORMAT ">
            <w:r w:rsidR="00F56E7D">
              <w:rPr>
                <w:noProof/>
              </w:rPr>
              <w:t>Atish Dhaya</w:t>
            </w:r>
          </w:fldSimple>
        </w:p>
      </w:tc>
    </w:tr>
  </w:tbl>
  <w:p w:rsidR="00840D44" w:rsidRDefault="00840D4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D049C"/>
    <w:multiLevelType w:val="hybridMultilevel"/>
    <w:tmpl w:val="E854A2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DF46BA0"/>
    <w:multiLevelType w:val="hybridMultilevel"/>
    <w:tmpl w:val="3E2207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E5504D0"/>
    <w:multiLevelType w:val="hybridMultilevel"/>
    <w:tmpl w:val="804AF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36490D"/>
    <w:multiLevelType w:val="hybridMultilevel"/>
    <w:tmpl w:val="94504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561905"/>
    <w:multiLevelType w:val="hybridMultilevel"/>
    <w:tmpl w:val="14BCB3A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F90278"/>
    <w:multiLevelType w:val="hybridMultilevel"/>
    <w:tmpl w:val="DCC27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A7541C3"/>
    <w:multiLevelType w:val="hybridMultilevel"/>
    <w:tmpl w:val="0D4A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8B3285"/>
    <w:multiLevelType w:val="hybridMultilevel"/>
    <w:tmpl w:val="C9542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A05168"/>
    <w:multiLevelType w:val="hybridMultilevel"/>
    <w:tmpl w:val="B1E2CFB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5A288B"/>
    <w:multiLevelType w:val="hybridMultilevel"/>
    <w:tmpl w:val="1D4C2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6112FF"/>
    <w:multiLevelType w:val="hybridMultilevel"/>
    <w:tmpl w:val="C36ED7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23A3A81"/>
    <w:multiLevelType w:val="hybridMultilevel"/>
    <w:tmpl w:val="718C7F1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9B40B55"/>
    <w:multiLevelType w:val="hybridMultilevel"/>
    <w:tmpl w:val="4A3C6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88157D"/>
    <w:multiLevelType w:val="hybridMultilevel"/>
    <w:tmpl w:val="33909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6E7E80"/>
    <w:multiLevelType w:val="hybridMultilevel"/>
    <w:tmpl w:val="B1EAE0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AB90B11"/>
    <w:multiLevelType w:val="hybridMultilevel"/>
    <w:tmpl w:val="9496E86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7"/>
  </w:num>
  <w:num w:numId="3">
    <w:abstractNumId w:val="11"/>
  </w:num>
  <w:num w:numId="4">
    <w:abstractNumId w:val="1"/>
  </w:num>
  <w:num w:numId="5">
    <w:abstractNumId w:val="8"/>
  </w:num>
  <w:num w:numId="6">
    <w:abstractNumId w:val="4"/>
  </w:num>
  <w:num w:numId="7">
    <w:abstractNumId w:val="6"/>
  </w:num>
  <w:num w:numId="8">
    <w:abstractNumId w:val="13"/>
  </w:num>
  <w:num w:numId="9">
    <w:abstractNumId w:val="3"/>
  </w:num>
  <w:num w:numId="10">
    <w:abstractNumId w:val="9"/>
  </w:num>
  <w:num w:numId="11">
    <w:abstractNumId w:val="2"/>
  </w:num>
  <w:num w:numId="12">
    <w:abstractNumId w:val="12"/>
  </w:num>
  <w:num w:numId="13">
    <w:abstractNumId w:val="10"/>
  </w:num>
  <w:num w:numId="14">
    <w:abstractNumId w:val="5"/>
  </w:num>
  <w:num w:numId="15">
    <w:abstractNumId w:val="14"/>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attachedTemplate r:id="rId1"/>
  <w:stylePaneFormatFilter w:val="3F01"/>
  <w:defaultTabStop w:val="720"/>
  <w:noPunctuationKerning/>
  <w:characterSpacingControl w:val="doNotCompress"/>
  <w:hdrShapeDefaults>
    <o:shapedefaults v:ext="edit" spidmax="16385"/>
  </w:hdrShapeDefaults>
  <w:footnotePr>
    <w:footnote w:id="-1"/>
    <w:footnote w:id="0"/>
  </w:footnotePr>
  <w:endnotePr>
    <w:endnote w:id="-1"/>
    <w:endnote w:id="0"/>
  </w:endnotePr>
  <w:compat/>
  <w:rsids>
    <w:rsidRoot w:val="00C7031A"/>
    <w:rsid w:val="00000B70"/>
    <w:rsid w:val="000211F4"/>
    <w:rsid w:val="000235A7"/>
    <w:rsid w:val="000431C2"/>
    <w:rsid w:val="00052733"/>
    <w:rsid w:val="0005653F"/>
    <w:rsid w:val="0005703E"/>
    <w:rsid w:val="00070AF6"/>
    <w:rsid w:val="00086D7C"/>
    <w:rsid w:val="00090336"/>
    <w:rsid w:val="0009354C"/>
    <w:rsid w:val="000B0077"/>
    <w:rsid w:val="000B1EC5"/>
    <w:rsid w:val="000C1295"/>
    <w:rsid w:val="000C71E8"/>
    <w:rsid w:val="000E4A58"/>
    <w:rsid w:val="000E7286"/>
    <w:rsid w:val="001022E4"/>
    <w:rsid w:val="00106F9D"/>
    <w:rsid w:val="00116B58"/>
    <w:rsid w:val="0012214F"/>
    <w:rsid w:val="00125BEA"/>
    <w:rsid w:val="00136463"/>
    <w:rsid w:val="001433F8"/>
    <w:rsid w:val="00160820"/>
    <w:rsid w:val="00161EAD"/>
    <w:rsid w:val="00162066"/>
    <w:rsid w:val="00163665"/>
    <w:rsid w:val="001636D4"/>
    <w:rsid w:val="00166234"/>
    <w:rsid w:val="001A583D"/>
    <w:rsid w:val="001B1425"/>
    <w:rsid w:val="001C0FBC"/>
    <w:rsid w:val="001C12B0"/>
    <w:rsid w:val="001C3695"/>
    <w:rsid w:val="001C42B4"/>
    <w:rsid w:val="001C72BD"/>
    <w:rsid w:val="001D770E"/>
    <w:rsid w:val="001E195E"/>
    <w:rsid w:val="001E2E03"/>
    <w:rsid w:val="001F0684"/>
    <w:rsid w:val="001F7F34"/>
    <w:rsid w:val="00202FA3"/>
    <w:rsid w:val="00205A51"/>
    <w:rsid w:val="002062C2"/>
    <w:rsid w:val="00217014"/>
    <w:rsid w:val="00223CE9"/>
    <w:rsid w:val="002273AE"/>
    <w:rsid w:val="002305A1"/>
    <w:rsid w:val="00230640"/>
    <w:rsid w:val="00230BC2"/>
    <w:rsid w:val="0024122D"/>
    <w:rsid w:val="00242C68"/>
    <w:rsid w:val="002514FF"/>
    <w:rsid w:val="00252347"/>
    <w:rsid w:val="002550EE"/>
    <w:rsid w:val="00256BAF"/>
    <w:rsid w:val="00256DF3"/>
    <w:rsid w:val="00260B6E"/>
    <w:rsid w:val="00261125"/>
    <w:rsid w:val="00274453"/>
    <w:rsid w:val="00276616"/>
    <w:rsid w:val="0029699A"/>
    <w:rsid w:val="002A4E39"/>
    <w:rsid w:val="002B0429"/>
    <w:rsid w:val="002D1B42"/>
    <w:rsid w:val="002E34C2"/>
    <w:rsid w:val="002F083B"/>
    <w:rsid w:val="002F0B69"/>
    <w:rsid w:val="00303BCC"/>
    <w:rsid w:val="00313372"/>
    <w:rsid w:val="00315DA3"/>
    <w:rsid w:val="00322B8C"/>
    <w:rsid w:val="0032547A"/>
    <w:rsid w:val="003417AC"/>
    <w:rsid w:val="00342903"/>
    <w:rsid w:val="003435EE"/>
    <w:rsid w:val="003455AD"/>
    <w:rsid w:val="00345826"/>
    <w:rsid w:val="00347129"/>
    <w:rsid w:val="00354BA3"/>
    <w:rsid w:val="0038039B"/>
    <w:rsid w:val="003A671E"/>
    <w:rsid w:val="003B0F98"/>
    <w:rsid w:val="003C032A"/>
    <w:rsid w:val="003C1947"/>
    <w:rsid w:val="003C1AAD"/>
    <w:rsid w:val="003C2A49"/>
    <w:rsid w:val="003C5AFF"/>
    <w:rsid w:val="003E32C6"/>
    <w:rsid w:val="003F1555"/>
    <w:rsid w:val="003F33D9"/>
    <w:rsid w:val="003F61C0"/>
    <w:rsid w:val="00401181"/>
    <w:rsid w:val="00410A69"/>
    <w:rsid w:val="00410BEC"/>
    <w:rsid w:val="00413308"/>
    <w:rsid w:val="00433924"/>
    <w:rsid w:val="00435841"/>
    <w:rsid w:val="00440B99"/>
    <w:rsid w:val="00453B35"/>
    <w:rsid w:val="00462E8A"/>
    <w:rsid w:val="004855AB"/>
    <w:rsid w:val="00493177"/>
    <w:rsid w:val="00494E09"/>
    <w:rsid w:val="004B5568"/>
    <w:rsid w:val="004C3616"/>
    <w:rsid w:val="004C624F"/>
    <w:rsid w:val="004D3F82"/>
    <w:rsid w:val="004E15ED"/>
    <w:rsid w:val="004F0DBD"/>
    <w:rsid w:val="004F41E2"/>
    <w:rsid w:val="004F48B4"/>
    <w:rsid w:val="005033A8"/>
    <w:rsid w:val="00510B99"/>
    <w:rsid w:val="00512827"/>
    <w:rsid w:val="0051465E"/>
    <w:rsid w:val="005227C6"/>
    <w:rsid w:val="0053214C"/>
    <w:rsid w:val="00544408"/>
    <w:rsid w:val="00544480"/>
    <w:rsid w:val="0054796D"/>
    <w:rsid w:val="0055649A"/>
    <w:rsid w:val="005662B3"/>
    <w:rsid w:val="00591DD2"/>
    <w:rsid w:val="005B3223"/>
    <w:rsid w:val="005C0AC6"/>
    <w:rsid w:val="005C698E"/>
    <w:rsid w:val="005D05A2"/>
    <w:rsid w:val="005D68AF"/>
    <w:rsid w:val="005D6F01"/>
    <w:rsid w:val="005E7778"/>
    <w:rsid w:val="005F480F"/>
    <w:rsid w:val="006032BE"/>
    <w:rsid w:val="00607702"/>
    <w:rsid w:val="0061266F"/>
    <w:rsid w:val="00612BA3"/>
    <w:rsid w:val="006274B4"/>
    <w:rsid w:val="00655D6E"/>
    <w:rsid w:val="006673C4"/>
    <w:rsid w:val="0067279E"/>
    <w:rsid w:val="00676D43"/>
    <w:rsid w:val="006834CA"/>
    <w:rsid w:val="00687811"/>
    <w:rsid w:val="006A5C10"/>
    <w:rsid w:val="006B2910"/>
    <w:rsid w:val="006B62E2"/>
    <w:rsid w:val="006D73C2"/>
    <w:rsid w:val="006F353F"/>
    <w:rsid w:val="006F72B9"/>
    <w:rsid w:val="00726B21"/>
    <w:rsid w:val="007279BC"/>
    <w:rsid w:val="0073299E"/>
    <w:rsid w:val="00733A78"/>
    <w:rsid w:val="00740023"/>
    <w:rsid w:val="00752F22"/>
    <w:rsid w:val="00765565"/>
    <w:rsid w:val="007700A8"/>
    <w:rsid w:val="00776F3D"/>
    <w:rsid w:val="00780270"/>
    <w:rsid w:val="00785E0C"/>
    <w:rsid w:val="00791F1E"/>
    <w:rsid w:val="00795569"/>
    <w:rsid w:val="007975F5"/>
    <w:rsid w:val="00797F2E"/>
    <w:rsid w:val="007A65B5"/>
    <w:rsid w:val="007B0E64"/>
    <w:rsid w:val="007E18BA"/>
    <w:rsid w:val="007F3F17"/>
    <w:rsid w:val="007F55AA"/>
    <w:rsid w:val="00804728"/>
    <w:rsid w:val="008079DC"/>
    <w:rsid w:val="008140BA"/>
    <w:rsid w:val="00815342"/>
    <w:rsid w:val="00833C06"/>
    <w:rsid w:val="00837E14"/>
    <w:rsid w:val="00840D44"/>
    <w:rsid w:val="00840D82"/>
    <w:rsid w:val="00856D04"/>
    <w:rsid w:val="00881492"/>
    <w:rsid w:val="00883B90"/>
    <w:rsid w:val="00886C9F"/>
    <w:rsid w:val="00886D36"/>
    <w:rsid w:val="008D4A38"/>
    <w:rsid w:val="008D7F0E"/>
    <w:rsid w:val="008E5B19"/>
    <w:rsid w:val="008E6CAE"/>
    <w:rsid w:val="008F623E"/>
    <w:rsid w:val="009037E2"/>
    <w:rsid w:val="00910745"/>
    <w:rsid w:val="00915766"/>
    <w:rsid w:val="00937EF9"/>
    <w:rsid w:val="0094250E"/>
    <w:rsid w:val="00962882"/>
    <w:rsid w:val="009651A9"/>
    <w:rsid w:val="00973B94"/>
    <w:rsid w:val="00975296"/>
    <w:rsid w:val="009935E8"/>
    <w:rsid w:val="009A4DDE"/>
    <w:rsid w:val="009A53BD"/>
    <w:rsid w:val="009B3D66"/>
    <w:rsid w:val="009B430B"/>
    <w:rsid w:val="009B4B57"/>
    <w:rsid w:val="009C20CA"/>
    <w:rsid w:val="009D0617"/>
    <w:rsid w:val="009D0E48"/>
    <w:rsid w:val="009F20EE"/>
    <w:rsid w:val="00A129DB"/>
    <w:rsid w:val="00A16900"/>
    <w:rsid w:val="00A2018D"/>
    <w:rsid w:val="00A26609"/>
    <w:rsid w:val="00A31075"/>
    <w:rsid w:val="00A3352D"/>
    <w:rsid w:val="00A62657"/>
    <w:rsid w:val="00A62715"/>
    <w:rsid w:val="00A71972"/>
    <w:rsid w:val="00A76C50"/>
    <w:rsid w:val="00A76D6D"/>
    <w:rsid w:val="00A91FEA"/>
    <w:rsid w:val="00AB77A4"/>
    <w:rsid w:val="00AC1AC9"/>
    <w:rsid w:val="00AF2EB9"/>
    <w:rsid w:val="00B11E41"/>
    <w:rsid w:val="00B1439C"/>
    <w:rsid w:val="00B20243"/>
    <w:rsid w:val="00B36173"/>
    <w:rsid w:val="00B50DD7"/>
    <w:rsid w:val="00B513EA"/>
    <w:rsid w:val="00B72399"/>
    <w:rsid w:val="00B776EA"/>
    <w:rsid w:val="00B81A89"/>
    <w:rsid w:val="00B843CB"/>
    <w:rsid w:val="00BA27F4"/>
    <w:rsid w:val="00BB6E6C"/>
    <w:rsid w:val="00BD2D5C"/>
    <w:rsid w:val="00BD478D"/>
    <w:rsid w:val="00BF3430"/>
    <w:rsid w:val="00C24D78"/>
    <w:rsid w:val="00C62C06"/>
    <w:rsid w:val="00C63780"/>
    <w:rsid w:val="00C67698"/>
    <w:rsid w:val="00C7031A"/>
    <w:rsid w:val="00C70812"/>
    <w:rsid w:val="00C754E3"/>
    <w:rsid w:val="00C871AF"/>
    <w:rsid w:val="00C91451"/>
    <w:rsid w:val="00C93550"/>
    <w:rsid w:val="00C94306"/>
    <w:rsid w:val="00C94307"/>
    <w:rsid w:val="00CA6813"/>
    <w:rsid w:val="00CB1931"/>
    <w:rsid w:val="00CC0162"/>
    <w:rsid w:val="00CC274D"/>
    <w:rsid w:val="00CD4E45"/>
    <w:rsid w:val="00CE1501"/>
    <w:rsid w:val="00D02B13"/>
    <w:rsid w:val="00D1105D"/>
    <w:rsid w:val="00D14764"/>
    <w:rsid w:val="00D20CFA"/>
    <w:rsid w:val="00D42079"/>
    <w:rsid w:val="00D459FA"/>
    <w:rsid w:val="00D53BAC"/>
    <w:rsid w:val="00D624C5"/>
    <w:rsid w:val="00D63ADA"/>
    <w:rsid w:val="00D96705"/>
    <w:rsid w:val="00DA0212"/>
    <w:rsid w:val="00DB4A8F"/>
    <w:rsid w:val="00DC4B61"/>
    <w:rsid w:val="00DC552F"/>
    <w:rsid w:val="00DC55C1"/>
    <w:rsid w:val="00DC7802"/>
    <w:rsid w:val="00DE339E"/>
    <w:rsid w:val="00DF760F"/>
    <w:rsid w:val="00E00357"/>
    <w:rsid w:val="00E10887"/>
    <w:rsid w:val="00E1150B"/>
    <w:rsid w:val="00E14B16"/>
    <w:rsid w:val="00E221CA"/>
    <w:rsid w:val="00E511DE"/>
    <w:rsid w:val="00E51672"/>
    <w:rsid w:val="00E54824"/>
    <w:rsid w:val="00E54D34"/>
    <w:rsid w:val="00E83C59"/>
    <w:rsid w:val="00E87937"/>
    <w:rsid w:val="00E966E6"/>
    <w:rsid w:val="00ED129D"/>
    <w:rsid w:val="00ED358E"/>
    <w:rsid w:val="00EE0526"/>
    <w:rsid w:val="00EE2C08"/>
    <w:rsid w:val="00F134E2"/>
    <w:rsid w:val="00F30A9A"/>
    <w:rsid w:val="00F3136C"/>
    <w:rsid w:val="00F3251B"/>
    <w:rsid w:val="00F35468"/>
    <w:rsid w:val="00F4715D"/>
    <w:rsid w:val="00F56E7D"/>
    <w:rsid w:val="00F6047F"/>
    <w:rsid w:val="00F62B17"/>
    <w:rsid w:val="00F833FE"/>
    <w:rsid w:val="00F93F20"/>
    <w:rsid w:val="00FA2409"/>
    <w:rsid w:val="00FA38BB"/>
    <w:rsid w:val="00FD39FC"/>
    <w:rsid w:val="00FD4CBD"/>
    <w:rsid w:val="00FF126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34E2"/>
    <w:rPr>
      <w:szCs w:val="24"/>
      <w:lang w:val="en-GB"/>
    </w:rPr>
  </w:style>
  <w:style w:type="paragraph" w:styleId="Heading1">
    <w:name w:val="heading 1"/>
    <w:basedOn w:val="Normal"/>
    <w:next w:val="Normal"/>
    <w:qFormat/>
    <w:rsid w:val="00F134E2"/>
    <w:pPr>
      <w:keepNext/>
      <w:outlineLvl w:val="0"/>
    </w:pPr>
    <w:rPr>
      <w:b/>
      <w:sz w:val="32"/>
    </w:rPr>
  </w:style>
  <w:style w:type="paragraph" w:styleId="Heading2">
    <w:name w:val="heading 2"/>
    <w:basedOn w:val="Normal"/>
    <w:next w:val="Normal"/>
    <w:link w:val="Heading2Char"/>
    <w:uiPriority w:val="9"/>
    <w:qFormat/>
    <w:rsid w:val="00F134E2"/>
    <w:pPr>
      <w:keepNext/>
      <w:spacing w:before="120" w:after="60"/>
      <w:outlineLvl w:val="1"/>
    </w:pPr>
    <w:rPr>
      <w:rFonts w:cs="Arial"/>
      <w:b/>
      <w:bCs/>
      <w:iCs/>
      <w:sz w:val="28"/>
      <w:szCs w:val="28"/>
    </w:rPr>
  </w:style>
  <w:style w:type="paragraph" w:styleId="Heading3">
    <w:name w:val="heading 3"/>
    <w:basedOn w:val="Normal"/>
    <w:next w:val="Normal"/>
    <w:link w:val="Heading3Char"/>
    <w:uiPriority w:val="9"/>
    <w:qFormat/>
    <w:rsid w:val="00F134E2"/>
    <w:pPr>
      <w:keepNext/>
      <w:spacing w:before="120" w:after="60"/>
      <w:outlineLvl w:val="2"/>
    </w:pPr>
    <w:rPr>
      <w:rFonts w:cs="Arial"/>
      <w:b/>
      <w:bCs/>
      <w:sz w:val="24"/>
      <w:szCs w:val="26"/>
    </w:rPr>
  </w:style>
  <w:style w:type="paragraph" w:styleId="Heading4">
    <w:name w:val="heading 4"/>
    <w:basedOn w:val="Normal"/>
    <w:next w:val="Normal"/>
    <w:link w:val="Heading4Char"/>
    <w:uiPriority w:val="9"/>
    <w:qFormat/>
    <w:rsid w:val="00F134E2"/>
    <w:pPr>
      <w:keepNext/>
      <w:outlineLvl w:val="3"/>
    </w:pPr>
    <w:rPr>
      <w:b/>
    </w:rPr>
  </w:style>
  <w:style w:type="paragraph" w:styleId="Heading5">
    <w:name w:val="heading 5"/>
    <w:basedOn w:val="Normal"/>
    <w:next w:val="Normal"/>
    <w:qFormat/>
    <w:rsid w:val="00F134E2"/>
    <w:pPr>
      <w:keepNext/>
      <w:outlineLvl w:val="4"/>
    </w:pPr>
    <w:rPr>
      <w:sz w:val="32"/>
    </w:rPr>
  </w:style>
  <w:style w:type="paragraph" w:styleId="Heading6">
    <w:name w:val="heading 6"/>
    <w:basedOn w:val="Normal"/>
    <w:next w:val="Normal"/>
    <w:qFormat/>
    <w:rsid w:val="00F134E2"/>
    <w:pPr>
      <w:keepNext/>
      <w:jc w:val="center"/>
      <w:outlineLvl w:val="5"/>
    </w:pPr>
    <w:rPr>
      <w:b/>
      <w:bCs/>
    </w:rPr>
  </w:style>
  <w:style w:type="paragraph" w:styleId="Heading7">
    <w:name w:val="heading 7"/>
    <w:basedOn w:val="Normal"/>
    <w:next w:val="Normal"/>
    <w:qFormat/>
    <w:rsid w:val="00F134E2"/>
    <w:pPr>
      <w:keepNext/>
      <w:jc w:val="right"/>
      <w:outlineLvl w:val="6"/>
    </w:pPr>
    <w:rPr>
      <w:b/>
      <w:bCs/>
    </w:rPr>
  </w:style>
  <w:style w:type="paragraph" w:styleId="Heading8">
    <w:name w:val="heading 8"/>
    <w:basedOn w:val="Normal"/>
    <w:next w:val="Normal"/>
    <w:qFormat/>
    <w:rsid w:val="00F134E2"/>
    <w:pPr>
      <w:keepNext/>
      <w:jc w:val="center"/>
      <w:outlineLvl w:val="7"/>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134E2"/>
    <w:pPr>
      <w:tabs>
        <w:tab w:val="center" w:pos="4153"/>
        <w:tab w:val="right" w:pos="8306"/>
      </w:tabs>
    </w:pPr>
    <w:rPr>
      <w:sz w:val="36"/>
    </w:rPr>
  </w:style>
  <w:style w:type="paragraph" w:styleId="Footer">
    <w:name w:val="footer"/>
    <w:basedOn w:val="Normal"/>
    <w:link w:val="FooterChar"/>
    <w:uiPriority w:val="99"/>
    <w:rsid w:val="00F134E2"/>
    <w:pPr>
      <w:tabs>
        <w:tab w:val="center" w:pos="4153"/>
        <w:tab w:val="right" w:pos="8306"/>
      </w:tabs>
    </w:pPr>
  </w:style>
  <w:style w:type="character" w:styleId="Hyperlink">
    <w:name w:val="Hyperlink"/>
    <w:basedOn w:val="DefaultParagraphFont"/>
    <w:uiPriority w:val="99"/>
    <w:rsid w:val="00F134E2"/>
    <w:rPr>
      <w:color w:val="0000FF"/>
      <w:u w:val="single"/>
    </w:rPr>
  </w:style>
  <w:style w:type="character" w:styleId="Strong">
    <w:name w:val="Strong"/>
    <w:basedOn w:val="DefaultParagraphFont"/>
    <w:qFormat/>
    <w:rsid w:val="00F134E2"/>
    <w:rPr>
      <w:b/>
      <w:bCs/>
    </w:rPr>
  </w:style>
  <w:style w:type="paragraph" w:styleId="TOC1">
    <w:name w:val="toc 1"/>
    <w:basedOn w:val="Normal"/>
    <w:next w:val="Normal"/>
    <w:autoRedefine/>
    <w:uiPriority w:val="39"/>
    <w:rsid w:val="00F134E2"/>
  </w:style>
  <w:style w:type="paragraph" w:styleId="TOC2">
    <w:name w:val="toc 2"/>
    <w:basedOn w:val="Normal"/>
    <w:next w:val="Normal"/>
    <w:autoRedefine/>
    <w:uiPriority w:val="39"/>
    <w:rsid w:val="00F134E2"/>
    <w:pPr>
      <w:ind w:left="200"/>
    </w:pPr>
  </w:style>
  <w:style w:type="paragraph" w:styleId="TOC3">
    <w:name w:val="toc 3"/>
    <w:basedOn w:val="Normal"/>
    <w:next w:val="Normal"/>
    <w:autoRedefine/>
    <w:semiHidden/>
    <w:rsid w:val="00F134E2"/>
    <w:pPr>
      <w:ind w:left="400"/>
    </w:pPr>
  </w:style>
  <w:style w:type="paragraph" w:styleId="TOC4">
    <w:name w:val="toc 4"/>
    <w:basedOn w:val="Normal"/>
    <w:next w:val="Normal"/>
    <w:autoRedefine/>
    <w:semiHidden/>
    <w:rsid w:val="00F134E2"/>
    <w:pPr>
      <w:ind w:left="600"/>
    </w:pPr>
  </w:style>
  <w:style w:type="paragraph" w:styleId="TOC5">
    <w:name w:val="toc 5"/>
    <w:basedOn w:val="Normal"/>
    <w:next w:val="Normal"/>
    <w:autoRedefine/>
    <w:semiHidden/>
    <w:rsid w:val="00F134E2"/>
    <w:pPr>
      <w:ind w:left="800"/>
    </w:pPr>
  </w:style>
  <w:style w:type="paragraph" w:styleId="TOC6">
    <w:name w:val="toc 6"/>
    <w:basedOn w:val="Normal"/>
    <w:next w:val="Normal"/>
    <w:autoRedefine/>
    <w:semiHidden/>
    <w:rsid w:val="00F134E2"/>
    <w:pPr>
      <w:ind w:left="1000"/>
    </w:pPr>
  </w:style>
  <w:style w:type="paragraph" w:styleId="TOC7">
    <w:name w:val="toc 7"/>
    <w:basedOn w:val="Normal"/>
    <w:next w:val="Normal"/>
    <w:autoRedefine/>
    <w:semiHidden/>
    <w:rsid w:val="00F134E2"/>
    <w:pPr>
      <w:ind w:left="1200"/>
    </w:pPr>
  </w:style>
  <w:style w:type="paragraph" w:styleId="TOC8">
    <w:name w:val="toc 8"/>
    <w:basedOn w:val="Normal"/>
    <w:next w:val="Normal"/>
    <w:autoRedefine/>
    <w:semiHidden/>
    <w:rsid w:val="00F134E2"/>
    <w:pPr>
      <w:ind w:left="1400"/>
    </w:pPr>
  </w:style>
  <w:style w:type="paragraph" w:styleId="TOC9">
    <w:name w:val="toc 9"/>
    <w:basedOn w:val="Normal"/>
    <w:next w:val="Normal"/>
    <w:autoRedefine/>
    <w:semiHidden/>
    <w:rsid w:val="00F134E2"/>
    <w:pPr>
      <w:ind w:left="1600"/>
    </w:pPr>
  </w:style>
  <w:style w:type="character" w:styleId="FollowedHyperlink">
    <w:name w:val="FollowedHyperlink"/>
    <w:basedOn w:val="DefaultParagraphFont"/>
    <w:rsid w:val="00F134E2"/>
    <w:rPr>
      <w:color w:val="800080"/>
      <w:u w:val="single"/>
    </w:rPr>
  </w:style>
  <w:style w:type="paragraph" w:styleId="ListParagraph">
    <w:name w:val="List Paragraph"/>
    <w:basedOn w:val="Normal"/>
    <w:uiPriority w:val="34"/>
    <w:qFormat/>
    <w:rsid w:val="00780270"/>
    <w:pPr>
      <w:ind w:left="720"/>
      <w:contextualSpacing/>
    </w:pPr>
  </w:style>
  <w:style w:type="paragraph" w:styleId="BalloonText">
    <w:name w:val="Balloon Text"/>
    <w:basedOn w:val="Normal"/>
    <w:link w:val="BalloonTextChar"/>
    <w:rsid w:val="00D96705"/>
    <w:rPr>
      <w:rFonts w:ascii="Tahoma" w:hAnsi="Tahoma" w:cs="Tahoma"/>
      <w:sz w:val="16"/>
      <w:szCs w:val="16"/>
    </w:rPr>
  </w:style>
  <w:style w:type="character" w:customStyle="1" w:styleId="BalloonTextChar">
    <w:name w:val="Balloon Text Char"/>
    <w:basedOn w:val="DefaultParagraphFont"/>
    <w:link w:val="BalloonText"/>
    <w:rsid w:val="00D96705"/>
    <w:rPr>
      <w:rFonts w:ascii="Tahoma" w:hAnsi="Tahoma" w:cs="Tahoma"/>
      <w:sz w:val="16"/>
      <w:szCs w:val="16"/>
      <w:lang w:val="en-GB"/>
    </w:rPr>
  </w:style>
  <w:style w:type="character" w:customStyle="1" w:styleId="Heading2Char">
    <w:name w:val="Heading 2 Char"/>
    <w:basedOn w:val="DefaultParagraphFont"/>
    <w:link w:val="Heading2"/>
    <w:uiPriority w:val="9"/>
    <w:rsid w:val="00E54824"/>
    <w:rPr>
      <w:rFonts w:cs="Arial"/>
      <w:b/>
      <w:bCs/>
      <w:iCs/>
      <w:sz w:val="28"/>
      <w:szCs w:val="28"/>
      <w:lang w:val="en-GB"/>
    </w:rPr>
  </w:style>
  <w:style w:type="character" w:customStyle="1" w:styleId="Heading3Char">
    <w:name w:val="Heading 3 Char"/>
    <w:basedOn w:val="DefaultParagraphFont"/>
    <w:link w:val="Heading3"/>
    <w:uiPriority w:val="9"/>
    <w:rsid w:val="00F56E7D"/>
    <w:rPr>
      <w:rFonts w:cs="Arial"/>
      <w:b/>
      <w:bCs/>
      <w:sz w:val="24"/>
      <w:szCs w:val="26"/>
      <w:lang w:val="en-GB"/>
    </w:rPr>
  </w:style>
  <w:style w:type="character" w:customStyle="1" w:styleId="Heading4Char">
    <w:name w:val="Heading 4 Char"/>
    <w:basedOn w:val="DefaultParagraphFont"/>
    <w:link w:val="Heading4"/>
    <w:uiPriority w:val="9"/>
    <w:rsid w:val="00F56E7D"/>
    <w:rPr>
      <w:b/>
      <w:szCs w:val="24"/>
      <w:lang w:val="en-GB"/>
    </w:rPr>
  </w:style>
  <w:style w:type="paragraph" w:styleId="IntenseQuote">
    <w:name w:val="Intense Quote"/>
    <w:basedOn w:val="Normal"/>
    <w:next w:val="Normal"/>
    <w:link w:val="IntenseQuoteChar"/>
    <w:uiPriority w:val="30"/>
    <w:qFormat/>
    <w:rsid w:val="00F56E7D"/>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rPr>
  </w:style>
  <w:style w:type="character" w:customStyle="1" w:styleId="IntenseQuoteChar">
    <w:name w:val="Intense Quote Char"/>
    <w:basedOn w:val="DefaultParagraphFont"/>
    <w:link w:val="IntenseQuote"/>
    <w:uiPriority w:val="30"/>
    <w:rsid w:val="00F56E7D"/>
    <w:rPr>
      <w:rFonts w:asciiTheme="minorHAnsi" w:eastAsiaTheme="minorHAnsi" w:hAnsiTheme="minorHAnsi" w:cstheme="minorBidi"/>
      <w:b/>
      <w:bCs/>
      <w:i/>
      <w:iCs/>
      <w:color w:val="4F81BD" w:themeColor="accent1"/>
      <w:sz w:val="22"/>
      <w:szCs w:val="22"/>
      <w:lang w:val="en-GB"/>
    </w:rPr>
  </w:style>
  <w:style w:type="paragraph" w:styleId="Subtitle">
    <w:name w:val="Subtitle"/>
    <w:basedOn w:val="Normal"/>
    <w:next w:val="Normal"/>
    <w:link w:val="SubtitleChar"/>
    <w:uiPriority w:val="11"/>
    <w:qFormat/>
    <w:rsid w:val="00F56E7D"/>
    <w:pPr>
      <w:numPr>
        <w:ilvl w:val="1"/>
      </w:numPr>
      <w:spacing w:after="200" w:line="276" w:lineRule="auto"/>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F56E7D"/>
    <w:rPr>
      <w:rFonts w:asciiTheme="majorHAnsi" w:eastAsiaTheme="majorEastAsia" w:hAnsiTheme="majorHAnsi" w:cstheme="majorBidi"/>
      <w:i/>
      <w:iCs/>
      <w:color w:val="4F81BD" w:themeColor="accent1"/>
      <w:spacing w:val="15"/>
      <w:sz w:val="24"/>
      <w:szCs w:val="24"/>
      <w:lang w:val="en-GB"/>
    </w:rPr>
  </w:style>
  <w:style w:type="table" w:styleId="TableGrid">
    <w:name w:val="Table Grid"/>
    <w:basedOn w:val="TableNormal"/>
    <w:uiPriority w:val="59"/>
    <w:rsid w:val="00F56E7D"/>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F56E7D"/>
    <w:rPr>
      <w:sz w:val="36"/>
      <w:szCs w:val="24"/>
      <w:lang w:val="en-GB"/>
    </w:rPr>
  </w:style>
  <w:style w:type="character" w:customStyle="1" w:styleId="FooterChar">
    <w:name w:val="Footer Char"/>
    <w:basedOn w:val="DefaultParagraphFont"/>
    <w:link w:val="Footer"/>
    <w:uiPriority w:val="99"/>
    <w:rsid w:val="00F56E7D"/>
    <w:rPr>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34E2"/>
    <w:rPr>
      <w:szCs w:val="24"/>
      <w:lang w:val="en-GB"/>
    </w:rPr>
  </w:style>
  <w:style w:type="paragraph" w:styleId="Heading1">
    <w:name w:val="heading 1"/>
    <w:basedOn w:val="Normal"/>
    <w:next w:val="Normal"/>
    <w:qFormat/>
    <w:rsid w:val="00F134E2"/>
    <w:pPr>
      <w:keepNext/>
      <w:outlineLvl w:val="0"/>
    </w:pPr>
    <w:rPr>
      <w:b/>
      <w:sz w:val="32"/>
    </w:rPr>
  </w:style>
  <w:style w:type="paragraph" w:styleId="Heading2">
    <w:name w:val="heading 2"/>
    <w:basedOn w:val="Normal"/>
    <w:next w:val="Normal"/>
    <w:link w:val="Heading2Char"/>
    <w:qFormat/>
    <w:rsid w:val="00F134E2"/>
    <w:pPr>
      <w:keepNext/>
      <w:spacing w:before="120" w:after="60"/>
      <w:outlineLvl w:val="1"/>
    </w:pPr>
    <w:rPr>
      <w:rFonts w:cs="Arial"/>
      <w:b/>
      <w:bCs/>
      <w:iCs/>
      <w:sz w:val="28"/>
      <w:szCs w:val="28"/>
    </w:rPr>
  </w:style>
  <w:style w:type="paragraph" w:styleId="Heading3">
    <w:name w:val="heading 3"/>
    <w:basedOn w:val="Normal"/>
    <w:next w:val="Normal"/>
    <w:qFormat/>
    <w:rsid w:val="00F134E2"/>
    <w:pPr>
      <w:keepNext/>
      <w:spacing w:before="120" w:after="60"/>
      <w:outlineLvl w:val="2"/>
    </w:pPr>
    <w:rPr>
      <w:rFonts w:cs="Arial"/>
      <w:b/>
      <w:bCs/>
      <w:sz w:val="24"/>
      <w:szCs w:val="26"/>
    </w:rPr>
  </w:style>
  <w:style w:type="paragraph" w:styleId="Heading4">
    <w:name w:val="heading 4"/>
    <w:basedOn w:val="Normal"/>
    <w:next w:val="Normal"/>
    <w:qFormat/>
    <w:rsid w:val="00F134E2"/>
    <w:pPr>
      <w:keepNext/>
      <w:outlineLvl w:val="3"/>
    </w:pPr>
    <w:rPr>
      <w:b/>
    </w:rPr>
  </w:style>
  <w:style w:type="paragraph" w:styleId="Heading5">
    <w:name w:val="heading 5"/>
    <w:basedOn w:val="Normal"/>
    <w:next w:val="Normal"/>
    <w:qFormat/>
    <w:rsid w:val="00F134E2"/>
    <w:pPr>
      <w:keepNext/>
      <w:outlineLvl w:val="4"/>
    </w:pPr>
    <w:rPr>
      <w:sz w:val="32"/>
    </w:rPr>
  </w:style>
  <w:style w:type="paragraph" w:styleId="Heading6">
    <w:name w:val="heading 6"/>
    <w:basedOn w:val="Normal"/>
    <w:next w:val="Normal"/>
    <w:qFormat/>
    <w:rsid w:val="00F134E2"/>
    <w:pPr>
      <w:keepNext/>
      <w:jc w:val="center"/>
      <w:outlineLvl w:val="5"/>
    </w:pPr>
    <w:rPr>
      <w:b/>
      <w:bCs/>
    </w:rPr>
  </w:style>
  <w:style w:type="paragraph" w:styleId="Heading7">
    <w:name w:val="heading 7"/>
    <w:basedOn w:val="Normal"/>
    <w:next w:val="Normal"/>
    <w:qFormat/>
    <w:rsid w:val="00F134E2"/>
    <w:pPr>
      <w:keepNext/>
      <w:jc w:val="right"/>
      <w:outlineLvl w:val="6"/>
    </w:pPr>
    <w:rPr>
      <w:b/>
      <w:bCs/>
    </w:rPr>
  </w:style>
  <w:style w:type="paragraph" w:styleId="Heading8">
    <w:name w:val="heading 8"/>
    <w:basedOn w:val="Normal"/>
    <w:next w:val="Normal"/>
    <w:qFormat/>
    <w:rsid w:val="00F134E2"/>
    <w:pPr>
      <w:keepNext/>
      <w:jc w:val="center"/>
      <w:outlineLvl w:val="7"/>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34E2"/>
    <w:pPr>
      <w:tabs>
        <w:tab w:val="center" w:pos="4153"/>
        <w:tab w:val="right" w:pos="8306"/>
      </w:tabs>
    </w:pPr>
    <w:rPr>
      <w:sz w:val="36"/>
    </w:rPr>
  </w:style>
  <w:style w:type="paragraph" w:styleId="Footer">
    <w:name w:val="footer"/>
    <w:basedOn w:val="Normal"/>
    <w:rsid w:val="00F134E2"/>
    <w:pPr>
      <w:tabs>
        <w:tab w:val="center" w:pos="4153"/>
        <w:tab w:val="right" w:pos="8306"/>
      </w:tabs>
    </w:pPr>
  </w:style>
  <w:style w:type="character" w:styleId="Hyperlink">
    <w:name w:val="Hyperlink"/>
    <w:basedOn w:val="DefaultParagraphFont"/>
    <w:uiPriority w:val="99"/>
    <w:rsid w:val="00F134E2"/>
    <w:rPr>
      <w:color w:val="0000FF"/>
      <w:u w:val="single"/>
    </w:rPr>
  </w:style>
  <w:style w:type="character" w:styleId="Strong">
    <w:name w:val="Strong"/>
    <w:basedOn w:val="DefaultParagraphFont"/>
    <w:qFormat/>
    <w:rsid w:val="00F134E2"/>
    <w:rPr>
      <w:b/>
      <w:bCs/>
    </w:rPr>
  </w:style>
  <w:style w:type="paragraph" w:styleId="TOC1">
    <w:name w:val="toc 1"/>
    <w:basedOn w:val="Normal"/>
    <w:next w:val="Normal"/>
    <w:autoRedefine/>
    <w:uiPriority w:val="39"/>
    <w:rsid w:val="00F134E2"/>
  </w:style>
  <w:style w:type="paragraph" w:styleId="TOC2">
    <w:name w:val="toc 2"/>
    <w:basedOn w:val="Normal"/>
    <w:next w:val="Normal"/>
    <w:autoRedefine/>
    <w:uiPriority w:val="39"/>
    <w:rsid w:val="00F134E2"/>
    <w:pPr>
      <w:ind w:left="200"/>
    </w:pPr>
  </w:style>
  <w:style w:type="paragraph" w:styleId="TOC3">
    <w:name w:val="toc 3"/>
    <w:basedOn w:val="Normal"/>
    <w:next w:val="Normal"/>
    <w:autoRedefine/>
    <w:semiHidden/>
    <w:rsid w:val="00F134E2"/>
    <w:pPr>
      <w:ind w:left="400"/>
    </w:pPr>
  </w:style>
  <w:style w:type="paragraph" w:styleId="TOC4">
    <w:name w:val="toc 4"/>
    <w:basedOn w:val="Normal"/>
    <w:next w:val="Normal"/>
    <w:autoRedefine/>
    <w:semiHidden/>
    <w:rsid w:val="00F134E2"/>
    <w:pPr>
      <w:ind w:left="600"/>
    </w:pPr>
  </w:style>
  <w:style w:type="paragraph" w:styleId="TOC5">
    <w:name w:val="toc 5"/>
    <w:basedOn w:val="Normal"/>
    <w:next w:val="Normal"/>
    <w:autoRedefine/>
    <w:semiHidden/>
    <w:rsid w:val="00F134E2"/>
    <w:pPr>
      <w:ind w:left="800"/>
    </w:pPr>
  </w:style>
  <w:style w:type="paragraph" w:styleId="TOC6">
    <w:name w:val="toc 6"/>
    <w:basedOn w:val="Normal"/>
    <w:next w:val="Normal"/>
    <w:autoRedefine/>
    <w:semiHidden/>
    <w:rsid w:val="00F134E2"/>
    <w:pPr>
      <w:ind w:left="1000"/>
    </w:pPr>
  </w:style>
  <w:style w:type="paragraph" w:styleId="TOC7">
    <w:name w:val="toc 7"/>
    <w:basedOn w:val="Normal"/>
    <w:next w:val="Normal"/>
    <w:autoRedefine/>
    <w:semiHidden/>
    <w:rsid w:val="00F134E2"/>
    <w:pPr>
      <w:ind w:left="1200"/>
    </w:pPr>
  </w:style>
  <w:style w:type="paragraph" w:styleId="TOC8">
    <w:name w:val="toc 8"/>
    <w:basedOn w:val="Normal"/>
    <w:next w:val="Normal"/>
    <w:autoRedefine/>
    <w:semiHidden/>
    <w:rsid w:val="00F134E2"/>
    <w:pPr>
      <w:ind w:left="1400"/>
    </w:pPr>
  </w:style>
  <w:style w:type="paragraph" w:styleId="TOC9">
    <w:name w:val="toc 9"/>
    <w:basedOn w:val="Normal"/>
    <w:next w:val="Normal"/>
    <w:autoRedefine/>
    <w:semiHidden/>
    <w:rsid w:val="00F134E2"/>
    <w:pPr>
      <w:ind w:left="1600"/>
    </w:pPr>
  </w:style>
  <w:style w:type="character" w:styleId="FollowedHyperlink">
    <w:name w:val="FollowedHyperlink"/>
    <w:basedOn w:val="DefaultParagraphFont"/>
    <w:rsid w:val="00F134E2"/>
    <w:rPr>
      <w:color w:val="800080"/>
      <w:u w:val="single"/>
    </w:rPr>
  </w:style>
  <w:style w:type="paragraph" w:styleId="ListParagraph">
    <w:name w:val="List Paragraph"/>
    <w:basedOn w:val="Normal"/>
    <w:uiPriority w:val="34"/>
    <w:qFormat/>
    <w:rsid w:val="00780270"/>
    <w:pPr>
      <w:ind w:left="720"/>
      <w:contextualSpacing/>
    </w:pPr>
  </w:style>
  <w:style w:type="paragraph" w:styleId="BalloonText">
    <w:name w:val="Balloon Text"/>
    <w:basedOn w:val="Normal"/>
    <w:link w:val="BalloonTextChar"/>
    <w:rsid w:val="00D96705"/>
    <w:rPr>
      <w:rFonts w:ascii="Tahoma" w:hAnsi="Tahoma" w:cs="Tahoma"/>
      <w:sz w:val="16"/>
      <w:szCs w:val="16"/>
    </w:rPr>
  </w:style>
  <w:style w:type="character" w:customStyle="1" w:styleId="BalloonTextChar">
    <w:name w:val="Balloon Text Char"/>
    <w:basedOn w:val="DefaultParagraphFont"/>
    <w:link w:val="BalloonText"/>
    <w:rsid w:val="00D96705"/>
    <w:rPr>
      <w:rFonts w:ascii="Tahoma" w:hAnsi="Tahoma" w:cs="Tahoma"/>
      <w:sz w:val="16"/>
      <w:szCs w:val="16"/>
      <w:lang w:val="en-GB"/>
    </w:rPr>
  </w:style>
  <w:style w:type="character" w:customStyle="1" w:styleId="Heading2Char">
    <w:name w:val="Heading 2 Char"/>
    <w:basedOn w:val="DefaultParagraphFont"/>
    <w:link w:val="Heading2"/>
    <w:rsid w:val="00E54824"/>
    <w:rPr>
      <w:rFonts w:cs="Arial"/>
      <w:b/>
      <w:bCs/>
      <w:iCs/>
      <w:sz w:val="28"/>
      <w:szCs w:val="28"/>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oleObject" Target="embeddings/oleObject1.bin"/><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jeevb\Desktop\eBizDoc%20-%20Design%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eBizDoc - Design Document</Template>
  <TotalTime>1284</TotalTime>
  <Pages>8</Pages>
  <Words>1270</Words>
  <Characters>7142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Document title</vt:lpstr>
    </vt:vector>
  </TitlesOfParts>
  <Company>Miki Travel Limited</Company>
  <LinksUpToDate>false</LinksUpToDate>
  <CharactersWithSpaces>8396</CharactersWithSpaces>
  <SharedDoc>false</SharedDoc>
  <HLinks>
    <vt:vector size="48" baseType="variant">
      <vt:variant>
        <vt:i4>1703995</vt:i4>
      </vt:variant>
      <vt:variant>
        <vt:i4>47</vt:i4>
      </vt:variant>
      <vt:variant>
        <vt:i4>0</vt:i4>
      </vt:variant>
      <vt:variant>
        <vt:i4>5</vt:i4>
      </vt:variant>
      <vt:variant>
        <vt:lpwstr/>
      </vt:variant>
      <vt:variant>
        <vt:lpwstr>_Toc139876405</vt:lpwstr>
      </vt:variant>
      <vt:variant>
        <vt:i4>1703995</vt:i4>
      </vt:variant>
      <vt:variant>
        <vt:i4>41</vt:i4>
      </vt:variant>
      <vt:variant>
        <vt:i4>0</vt:i4>
      </vt:variant>
      <vt:variant>
        <vt:i4>5</vt:i4>
      </vt:variant>
      <vt:variant>
        <vt:lpwstr/>
      </vt:variant>
      <vt:variant>
        <vt:lpwstr>_Toc139876404</vt:lpwstr>
      </vt:variant>
      <vt:variant>
        <vt:i4>1703995</vt:i4>
      </vt:variant>
      <vt:variant>
        <vt:i4>35</vt:i4>
      </vt:variant>
      <vt:variant>
        <vt:i4>0</vt:i4>
      </vt:variant>
      <vt:variant>
        <vt:i4>5</vt:i4>
      </vt:variant>
      <vt:variant>
        <vt:lpwstr/>
      </vt:variant>
      <vt:variant>
        <vt:lpwstr>_Toc139876403</vt:lpwstr>
      </vt:variant>
      <vt:variant>
        <vt:i4>1703995</vt:i4>
      </vt:variant>
      <vt:variant>
        <vt:i4>29</vt:i4>
      </vt:variant>
      <vt:variant>
        <vt:i4>0</vt:i4>
      </vt:variant>
      <vt:variant>
        <vt:i4>5</vt:i4>
      </vt:variant>
      <vt:variant>
        <vt:lpwstr/>
      </vt:variant>
      <vt:variant>
        <vt:lpwstr>_Toc139876402</vt:lpwstr>
      </vt:variant>
      <vt:variant>
        <vt:i4>1703995</vt:i4>
      </vt:variant>
      <vt:variant>
        <vt:i4>23</vt:i4>
      </vt:variant>
      <vt:variant>
        <vt:i4>0</vt:i4>
      </vt:variant>
      <vt:variant>
        <vt:i4>5</vt:i4>
      </vt:variant>
      <vt:variant>
        <vt:lpwstr/>
      </vt:variant>
      <vt:variant>
        <vt:lpwstr>_Toc139876401</vt:lpwstr>
      </vt:variant>
      <vt:variant>
        <vt:i4>1703995</vt:i4>
      </vt:variant>
      <vt:variant>
        <vt:i4>17</vt:i4>
      </vt:variant>
      <vt:variant>
        <vt:i4>0</vt:i4>
      </vt:variant>
      <vt:variant>
        <vt:i4>5</vt:i4>
      </vt:variant>
      <vt:variant>
        <vt:lpwstr/>
      </vt:variant>
      <vt:variant>
        <vt:lpwstr>_Toc139876400</vt:lpwstr>
      </vt:variant>
      <vt:variant>
        <vt:i4>1245244</vt:i4>
      </vt:variant>
      <vt:variant>
        <vt:i4>11</vt:i4>
      </vt:variant>
      <vt:variant>
        <vt:i4>0</vt:i4>
      </vt:variant>
      <vt:variant>
        <vt:i4>5</vt:i4>
      </vt:variant>
      <vt:variant>
        <vt:lpwstr/>
      </vt:variant>
      <vt:variant>
        <vt:lpwstr>_Toc139876399</vt:lpwstr>
      </vt:variant>
      <vt:variant>
        <vt:i4>3539062</vt:i4>
      </vt:variant>
      <vt:variant>
        <vt:i4>0</vt:i4>
      </vt:variant>
      <vt:variant>
        <vt:i4>0</vt:i4>
      </vt:variant>
      <vt:variant>
        <vt:i4>5</vt:i4>
      </vt:variant>
      <vt:variant>
        <vt:lpwstr>http://www.miki.co.uk/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This is the document summary that appears on the cover page</dc:subject>
  <dc:creator>Atish Dhaya</dc:creator>
  <cp:lastModifiedBy>Admin</cp:lastModifiedBy>
  <cp:revision>77</cp:revision>
  <cp:lastPrinted>2006-07-04T14:31:00Z</cp:lastPrinted>
  <dcterms:created xsi:type="dcterms:W3CDTF">2015-01-06T14:10:00Z</dcterms:created>
  <dcterms:modified xsi:type="dcterms:W3CDTF">2015-01-12T15:49:00Z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eBusiness</vt:lpwstr>
  </property>
  <property fmtid="{D5CDD505-2E9C-101B-9397-08002B2CF9AE}" pid="3" name="Project Name">
    <vt:lpwstr>Project name</vt:lpwstr>
  </property>
  <property fmtid="{D5CDD505-2E9C-101B-9397-08002B2CF9AE}" pid="4" name="Project Reference">
    <vt:lpwstr>Project ref</vt:lpwstr>
  </property>
</Properties>
</file>